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12" w:rsidRPr="008A2F9A" w:rsidRDefault="00087AE1" w:rsidP="000E461C">
      <w:pPr>
        <w:spacing w:after="20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 xml:space="preserve">Использование противопоказанных </w:t>
      </w:r>
      <w:proofErr w:type="spellStart"/>
      <w:r w:rsidR="003208CC" w:rsidRPr="008A2F9A">
        <w:rPr>
          <w:b/>
          <w:sz w:val="20"/>
          <w:szCs w:val="20"/>
        </w:rPr>
        <w:t>антитромбоцитарных</w:t>
      </w:r>
      <w:proofErr w:type="spellEnd"/>
      <w:r w:rsidR="003208CC" w:rsidRPr="008A2F9A">
        <w:rPr>
          <w:b/>
          <w:sz w:val="20"/>
          <w:szCs w:val="20"/>
        </w:rPr>
        <w:t xml:space="preserve"> </w:t>
      </w:r>
      <w:r w:rsidRPr="008A2F9A">
        <w:rPr>
          <w:b/>
          <w:sz w:val="20"/>
          <w:szCs w:val="20"/>
        </w:rPr>
        <w:t xml:space="preserve">препаратов при </w:t>
      </w:r>
      <w:r w:rsidR="006411FA" w:rsidRPr="008A2F9A">
        <w:rPr>
          <w:b/>
          <w:sz w:val="20"/>
          <w:szCs w:val="20"/>
        </w:rPr>
        <w:t xml:space="preserve">проведении </w:t>
      </w:r>
      <w:proofErr w:type="spellStart"/>
      <w:r w:rsidRPr="008A2F9A">
        <w:rPr>
          <w:b/>
          <w:sz w:val="20"/>
          <w:szCs w:val="20"/>
        </w:rPr>
        <w:t>чрескожного</w:t>
      </w:r>
      <w:proofErr w:type="spellEnd"/>
      <w:r w:rsidRPr="008A2F9A">
        <w:rPr>
          <w:b/>
          <w:sz w:val="20"/>
          <w:szCs w:val="20"/>
        </w:rPr>
        <w:t xml:space="preserve"> коронарного вмешательства: </w:t>
      </w:r>
      <w:r w:rsidR="00F148BE" w:rsidRPr="008A2F9A">
        <w:rPr>
          <w:b/>
          <w:sz w:val="20"/>
          <w:szCs w:val="20"/>
        </w:rPr>
        <w:t xml:space="preserve">результаты анализа на основе </w:t>
      </w:r>
      <w:r w:rsidR="00713258" w:rsidRPr="008A2F9A">
        <w:rPr>
          <w:b/>
          <w:sz w:val="20"/>
          <w:szCs w:val="20"/>
        </w:rPr>
        <w:t xml:space="preserve">данных </w:t>
      </w:r>
      <w:r w:rsidR="00F148BE" w:rsidRPr="008A2F9A">
        <w:rPr>
          <w:b/>
          <w:sz w:val="20"/>
          <w:szCs w:val="20"/>
        </w:rPr>
        <w:t xml:space="preserve">по </w:t>
      </w:r>
      <w:r w:rsidRPr="008A2F9A">
        <w:rPr>
          <w:b/>
          <w:sz w:val="20"/>
          <w:szCs w:val="20"/>
        </w:rPr>
        <w:t>клинической оценке,</w:t>
      </w:r>
      <w:r w:rsidR="00614B41" w:rsidRPr="008A2F9A">
        <w:rPr>
          <w:b/>
          <w:sz w:val="20"/>
          <w:szCs w:val="20"/>
        </w:rPr>
        <w:t xml:space="preserve"> </w:t>
      </w:r>
      <w:r w:rsidRPr="008A2F9A">
        <w:rPr>
          <w:b/>
          <w:sz w:val="20"/>
          <w:szCs w:val="20"/>
        </w:rPr>
        <w:t>отчетности и отслеживани</w:t>
      </w:r>
      <w:r w:rsidR="00713258" w:rsidRPr="008A2F9A">
        <w:rPr>
          <w:b/>
          <w:sz w:val="20"/>
          <w:szCs w:val="20"/>
        </w:rPr>
        <w:t>ю</w:t>
      </w:r>
      <w:r w:rsidRPr="008A2F9A">
        <w:rPr>
          <w:b/>
          <w:sz w:val="20"/>
          <w:szCs w:val="20"/>
        </w:rPr>
        <w:t xml:space="preserve"> </w:t>
      </w:r>
      <w:r w:rsidR="00A7479C" w:rsidRPr="008A2F9A">
        <w:rPr>
          <w:b/>
          <w:sz w:val="20"/>
          <w:szCs w:val="20"/>
        </w:rPr>
        <w:t>программы Администрации ветеранов</w:t>
      </w:r>
    </w:p>
    <w:p w:rsidR="00AD6288" w:rsidRPr="008A2F9A" w:rsidRDefault="006411FA" w:rsidP="00614B41">
      <w:pPr>
        <w:jc w:val="both"/>
        <w:rPr>
          <w:sz w:val="20"/>
          <w:szCs w:val="20"/>
        </w:rPr>
      </w:pPr>
      <w:proofErr w:type="spellStart"/>
      <w:r w:rsidRPr="008A2F9A">
        <w:rPr>
          <w:sz w:val="20"/>
          <w:szCs w:val="20"/>
        </w:rPr>
        <w:t>Geoffrey</w:t>
      </w:r>
      <w:proofErr w:type="spellEnd"/>
      <w:r w:rsidRPr="008A2F9A">
        <w:rPr>
          <w:sz w:val="20"/>
          <w:szCs w:val="20"/>
        </w:rPr>
        <w:t xml:space="preserve"> D. </w:t>
      </w:r>
      <w:proofErr w:type="spellStart"/>
      <w:r w:rsidRPr="008A2F9A">
        <w:rPr>
          <w:sz w:val="20"/>
          <w:szCs w:val="20"/>
        </w:rPr>
        <w:t>Barnes</w:t>
      </w:r>
      <w:proofErr w:type="spellEnd"/>
      <w:r w:rsidRPr="008A2F9A">
        <w:rPr>
          <w:sz w:val="20"/>
          <w:szCs w:val="20"/>
        </w:rPr>
        <w:t xml:space="preserve">, врач, магистр наук </w:t>
      </w:r>
      <w:r w:rsidRPr="008A2F9A">
        <w:rPr>
          <w:sz w:val="20"/>
          <w:szCs w:val="20"/>
          <w:vertAlign w:val="superscript"/>
        </w:rPr>
        <w:t>1</w:t>
      </w:r>
      <w:r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Maggie</w:t>
      </w:r>
      <w:proofErr w:type="spellEnd"/>
      <w:r w:rsidRPr="008A2F9A">
        <w:rPr>
          <w:sz w:val="20"/>
          <w:szCs w:val="20"/>
        </w:rPr>
        <w:t xml:space="preserve"> A </w:t>
      </w:r>
      <w:proofErr w:type="spellStart"/>
      <w:r w:rsidRPr="008A2F9A">
        <w:rPr>
          <w:sz w:val="20"/>
          <w:szCs w:val="20"/>
        </w:rPr>
        <w:t>Stanislawski</w:t>
      </w:r>
      <w:proofErr w:type="spellEnd"/>
      <w:r w:rsidRPr="008A2F9A">
        <w:rPr>
          <w:sz w:val="20"/>
          <w:szCs w:val="20"/>
        </w:rPr>
        <w:t xml:space="preserve">, магистр наук </w:t>
      </w: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Wenhui</w:t>
      </w:r>
      <w:proofErr w:type="spellEnd"/>
      <w:r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Liu</w:t>
      </w:r>
      <w:proofErr w:type="spellEnd"/>
      <w:r w:rsidRPr="008A2F9A">
        <w:rPr>
          <w:sz w:val="20"/>
          <w:szCs w:val="20"/>
        </w:rPr>
        <w:t xml:space="preserve">, магистр наук </w:t>
      </w: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Anna</w:t>
      </w:r>
      <w:proofErr w:type="spellEnd"/>
      <w:r w:rsidRPr="008A2F9A">
        <w:rPr>
          <w:sz w:val="20"/>
          <w:szCs w:val="20"/>
        </w:rPr>
        <w:t xml:space="preserve"> E </w:t>
      </w:r>
      <w:proofErr w:type="spellStart"/>
      <w:r w:rsidRPr="008A2F9A">
        <w:rPr>
          <w:sz w:val="20"/>
          <w:szCs w:val="20"/>
        </w:rPr>
        <w:t>Barón</w:t>
      </w:r>
      <w:proofErr w:type="spellEnd"/>
      <w:r w:rsidRPr="008A2F9A">
        <w:rPr>
          <w:sz w:val="20"/>
          <w:szCs w:val="20"/>
        </w:rPr>
        <w:t>, доктор наук</w:t>
      </w:r>
      <w:r w:rsidRPr="008A2F9A">
        <w:rPr>
          <w:sz w:val="20"/>
          <w:szCs w:val="20"/>
          <w:vertAlign w:val="superscript"/>
        </w:rPr>
        <w:t>3</w:t>
      </w:r>
      <w:r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Ehrin</w:t>
      </w:r>
      <w:proofErr w:type="spellEnd"/>
      <w:r w:rsidRPr="008A2F9A">
        <w:rPr>
          <w:sz w:val="20"/>
          <w:szCs w:val="20"/>
        </w:rPr>
        <w:t xml:space="preserve"> J </w:t>
      </w:r>
      <w:proofErr w:type="spellStart"/>
      <w:r w:rsidRPr="008A2F9A">
        <w:rPr>
          <w:sz w:val="20"/>
          <w:szCs w:val="20"/>
        </w:rPr>
        <w:t>Armstrong</w:t>
      </w:r>
      <w:proofErr w:type="spellEnd"/>
      <w:r w:rsidRPr="008A2F9A">
        <w:rPr>
          <w:sz w:val="20"/>
          <w:szCs w:val="20"/>
        </w:rPr>
        <w:t xml:space="preserve">, врач, магистр наук, </w:t>
      </w:r>
      <w:r w:rsidRPr="008A2F9A">
        <w:rPr>
          <w:sz w:val="20"/>
          <w:szCs w:val="20"/>
          <w:highlight w:val="yellow"/>
        </w:rPr>
        <w:t>MAS</w:t>
      </w: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>,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P</w:t>
      </w:r>
      <w:r w:rsidRPr="008A2F9A">
        <w:rPr>
          <w:sz w:val="20"/>
          <w:szCs w:val="20"/>
        </w:rPr>
        <w:t xml:space="preserve">. </w:t>
      </w:r>
      <w:r w:rsidRPr="008A2F9A">
        <w:rPr>
          <w:sz w:val="20"/>
          <w:szCs w:val="20"/>
          <w:lang w:val="en-US"/>
        </w:rPr>
        <w:t>Michael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Ho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доктор наук</w:t>
      </w: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 xml:space="preserve">, </w:t>
      </w:r>
      <w:r w:rsidRPr="008A2F9A">
        <w:rPr>
          <w:sz w:val="20"/>
          <w:szCs w:val="20"/>
          <w:lang w:val="en-US"/>
        </w:rPr>
        <w:t>Andrew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Klein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  <w:vertAlign w:val="superscript"/>
        </w:rPr>
        <w:t>4</w:t>
      </w:r>
      <w:r w:rsidRPr="008A2F9A">
        <w:rPr>
          <w:sz w:val="20"/>
          <w:szCs w:val="20"/>
        </w:rPr>
        <w:t xml:space="preserve">, </w:t>
      </w:r>
      <w:r w:rsidRPr="008A2F9A">
        <w:rPr>
          <w:sz w:val="20"/>
          <w:szCs w:val="20"/>
          <w:lang w:val="en-US"/>
        </w:rPr>
        <w:t>Thomas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M</w:t>
      </w:r>
      <w:r w:rsidRPr="008A2F9A">
        <w:rPr>
          <w:sz w:val="20"/>
          <w:szCs w:val="20"/>
        </w:rPr>
        <w:t xml:space="preserve">. </w:t>
      </w:r>
      <w:r w:rsidRPr="008A2F9A">
        <w:rPr>
          <w:sz w:val="20"/>
          <w:szCs w:val="20"/>
          <w:lang w:val="en-US"/>
        </w:rPr>
        <w:t>Maddox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 xml:space="preserve">магистр наук </w:t>
      </w: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  <w:lang w:val="en-US"/>
        </w:rPr>
        <w:t>Brahmajee</w:t>
      </w:r>
      <w:proofErr w:type="spellEnd"/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K</w:t>
      </w:r>
      <w:r w:rsidRPr="008A2F9A">
        <w:rPr>
          <w:sz w:val="20"/>
          <w:szCs w:val="20"/>
        </w:rPr>
        <w:t xml:space="preserve">. </w:t>
      </w:r>
      <w:proofErr w:type="spellStart"/>
      <w:r w:rsidRPr="008A2F9A">
        <w:rPr>
          <w:sz w:val="20"/>
          <w:szCs w:val="20"/>
          <w:lang w:val="en-US"/>
        </w:rPr>
        <w:t>Nallamothu</w:t>
      </w:r>
      <w:proofErr w:type="spellEnd"/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 xml:space="preserve">магистр в области общественного здравоохранения </w:t>
      </w:r>
      <w:r w:rsidRPr="008A2F9A">
        <w:rPr>
          <w:sz w:val="20"/>
          <w:szCs w:val="20"/>
          <w:vertAlign w:val="superscript"/>
        </w:rPr>
        <w:t>1</w:t>
      </w:r>
      <w:r w:rsidRPr="008A2F9A">
        <w:rPr>
          <w:sz w:val="20"/>
          <w:szCs w:val="20"/>
        </w:rPr>
        <w:t xml:space="preserve">, </w:t>
      </w:r>
      <w:r w:rsidRPr="008A2F9A">
        <w:rPr>
          <w:sz w:val="20"/>
          <w:szCs w:val="20"/>
          <w:lang w:val="en-US"/>
        </w:rPr>
        <w:t>John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S</w:t>
      </w:r>
      <w:r w:rsidRPr="008A2F9A">
        <w:rPr>
          <w:sz w:val="20"/>
          <w:szCs w:val="20"/>
        </w:rPr>
        <w:t xml:space="preserve">. </w:t>
      </w:r>
      <w:r w:rsidRPr="008A2F9A">
        <w:rPr>
          <w:sz w:val="20"/>
          <w:szCs w:val="20"/>
          <w:lang w:val="en-US"/>
        </w:rPr>
        <w:t>Rumsfeld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доктор наук</w:t>
      </w: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 xml:space="preserve">, </w:t>
      </w:r>
      <w:r w:rsidRPr="008A2F9A">
        <w:rPr>
          <w:sz w:val="20"/>
          <w:szCs w:val="20"/>
          <w:lang w:val="en-US"/>
        </w:rPr>
        <w:t>Thomas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T</w:t>
      </w:r>
      <w:r w:rsidRPr="008A2F9A">
        <w:rPr>
          <w:sz w:val="20"/>
          <w:szCs w:val="20"/>
        </w:rPr>
        <w:t xml:space="preserve">. </w:t>
      </w:r>
      <w:r w:rsidRPr="008A2F9A">
        <w:rPr>
          <w:sz w:val="20"/>
          <w:szCs w:val="20"/>
          <w:lang w:val="en-US"/>
        </w:rPr>
        <w:t>Tsai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 xml:space="preserve">магистр наук </w:t>
      </w:r>
      <w:r w:rsidRPr="008A2F9A">
        <w:rPr>
          <w:sz w:val="20"/>
          <w:szCs w:val="20"/>
          <w:vertAlign w:val="superscript"/>
        </w:rPr>
        <w:t>5</w:t>
      </w:r>
      <w:r w:rsidRPr="008A2F9A">
        <w:rPr>
          <w:sz w:val="20"/>
          <w:szCs w:val="20"/>
        </w:rPr>
        <w:t xml:space="preserve">, </w:t>
      </w:r>
      <w:r w:rsidRPr="008A2F9A">
        <w:rPr>
          <w:sz w:val="20"/>
          <w:szCs w:val="20"/>
          <w:lang w:val="en-US"/>
        </w:rPr>
        <w:t>and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Steven</w:t>
      </w:r>
      <w:r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  <w:lang w:val="en-US"/>
        </w:rPr>
        <w:t>M</w:t>
      </w:r>
      <w:r w:rsidRPr="008A2F9A">
        <w:rPr>
          <w:sz w:val="20"/>
          <w:szCs w:val="20"/>
        </w:rPr>
        <w:t xml:space="preserve">. </w:t>
      </w:r>
      <w:r w:rsidRPr="008A2F9A">
        <w:rPr>
          <w:sz w:val="20"/>
          <w:szCs w:val="20"/>
          <w:lang w:val="en-US"/>
        </w:rPr>
        <w:t>Bradley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>врач</w:t>
      </w:r>
      <w:r w:rsidRPr="008A2F9A">
        <w:rPr>
          <w:sz w:val="20"/>
          <w:szCs w:val="20"/>
        </w:rPr>
        <w:t xml:space="preserve">, </w:t>
      </w:r>
      <w:r w:rsidR="00AD6288" w:rsidRPr="008A2F9A">
        <w:rPr>
          <w:sz w:val="20"/>
          <w:szCs w:val="20"/>
        </w:rPr>
        <w:t xml:space="preserve">магистр в области общественного здравоохранения </w:t>
      </w:r>
      <w:r w:rsidRPr="008A2F9A">
        <w:rPr>
          <w:sz w:val="20"/>
          <w:szCs w:val="20"/>
          <w:vertAlign w:val="superscript"/>
        </w:rPr>
        <w:t>2</w:t>
      </w:r>
    </w:p>
    <w:p w:rsidR="00AD6288" w:rsidRPr="008A2F9A" w:rsidRDefault="006411FA" w:rsidP="00911206">
      <w:pPr>
        <w:spacing w:after="60"/>
        <w:jc w:val="both"/>
        <w:rPr>
          <w:sz w:val="20"/>
          <w:szCs w:val="20"/>
        </w:rPr>
      </w:pPr>
      <w:r w:rsidRPr="008A2F9A">
        <w:rPr>
          <w:sz w:val="20"/>
          <w:szCs w:val="20"/>
          <w:vertAlign w:val="superscript"/>
        </w:rPr>
        <w:t>1</w:t>
      </w:r>
      <w:r w:rsidR="00AD6288" w:rsidRPr="008A2F9A">
        <w:rPr>
          <w:sz w:val="20"/>
          <w:szCs w:val="20"/>
        </w:rPr>
        <w:t xml:space="preserve"> </w:t>
      </w:r>
      <w:proofErr w:type="spellStart"/>
      <w:r w:rsidR="004C06F4" w:rsidRPr="008A2F9A">
        <w:rPr>
          <w:sz w:val="20"/>
          <w:szCs w:val="20"/>
        </w:rPr>
        <w:t>Мичиганский</w:t>
      </w:r>
      <w:proofErr w:type="spellEnd"/>
      <w:r w:rsidR="004C06F4" w:rsidRPr="008A2F9A">
        <w:rPr>
          <w:sz w:val="20"/>
          <w:szCs w:val="20"/>
        </w:rPr>
        <w:t xml:space="preserve"> сердечно-сосудистый центр </w:t>
      </w:r>
      <w:proofErr w:type="spellStart"/>
      <w:r w:rsidR="004C06F4" w:rsidRPr="008A2F9A">
        <w:rPr>
          <w:sz w:val="20"/>
          <w:szCs w:val="20"/>
        </w:rPr>
        <w:t>Франкеля</w:t>
      </w:r>
      <w:proofErr w:type="spellEnd"/>
      <w:r w:rsidR="004C06F4" w:rsidRPr="008A2F9A">
        <w:rPr>
          <w:sz w:val="20"/>
          <w:szCs w:val="20"/>
        </w:rPr>
        <w:t xml:space="preserve"> у</w:t>
      </w:r>
      <w:r w:rsidR="00AD6288" w:rsidRPr="008A2F9A">
        <w:rPr>
          <w:sz w:val="20"/>
          <w:szCs w:val="20"/>
        </w:rPr>
        <w:t>ниверситета штата Мичиган и Медицинский центр</w:t>
      </w:r>
      <w:r w:rsidR="001C22E2" w:rsidRPr="008A2F9A">
        <w:rPr>
          <w:sz w:val="20"/>
          <w:szCs w:val="20"/>
        </w:rPr>
        <w:t xml:space="preserve"> </w:t>
      </w:r>
      <w:r w:rsidR="007E6813" w:rsidRPr="008A2F9A">
        <w:rPr>
          <w:sz w:val="20"/>
          <w:szCs w:val="20"/>
        </w:rPr>
        <w:t>Администрации ветеранов г. А</w:t>
      </w:r>
      <w:r w:rsidR="001C22E2" w:rsidRPr="008A2F9A">
        <w:rPr>
          <w:sz w:val="20"/>
          <w:szCs w:val="20"/>
        </w:rPr>
        <w:t>нн-</w:t>
      </w:r>
      <w:proofErr w:type="spellStart"/>
      <w:r w:rsidR="001C22E2" w:rsidRPr="008A2F9A">
        <w:rPr>
          <w:sz w:val="20"/>
          <w:szCs w:val="20"/>
        </w:rPr>
        <w:t>Арбор</w:t>
      </w:r>
      <w:proofErr w:type="spellEnd"/>
      <w:r w:rsidR="001C22E2" w:rsidRPr="008A2F9A">
        <w:rPr>
          <w:sz w:val="20"/>
          <w:szCs w:val="20"/>
        </w:rPr>
        <w:t xml:space="preserve">, </w:t>
      </w:r>
      <w:r w:rsidR="007E6813" w:rsidRPr="008A2F9A">
        <w:rPr>
          <w:sz w:val="20"/>
          <w:szCs w:val="20"/>
        </w:rPr>
        <w:t>г. А</w:t>
      </w:r>
      <w:r w:rsidR="00AD6288" w:rsidRPr="008A2F9A">
        <w:rPr>
          <w:sz w:val="20"/>
          <w:szCs w:val="20"/>
        </w:rPr>
        <w:t>нн-</w:t>
      </w:r>
      <w:proofErr w:type="spellStart"/>
      <w:r w:rsidR="00AD6288" w:rsidRPr="008A2F9A">
        <w:rPr>
          <w:sz w:val="20"/>
          <w:szCs w:val="20"/>
        </w:rPr>
        <w:t>Арбор</w:t>
      </w:r>
      <w:proofErr w:type="spellEnd"/>
      <w:r w:rsidR="001C22E2" w:rsidRPr="008A2F9A">
        <w:rPr>
          <w:sz w:val="20"/>
          <w:szCs w:val="20"/>
        </w:rPr>
        <w:t>, штат Мичиган</w:t>
      </w:r>
      <w:r w:rsidR="007E6813" w:rsidRPr="008A2F9A">
        <w:rPr>
          <w:sz w:val="20"/>
          <w:szCs w:val="20"/>
        </w:rPr>
        <w:t>, США</w:t>
      </w:r>
      <w:r w:rsidR="001C22E2" w:rsidRPr="008A2F9A">
        <w:rPr>
          <w:sz w:val="20"/>
          <w:szCs w:val="20"/>
        </w:rPr>
        <w:t>.</w:t>
      </w:r>
    </w:p>
    <w:p w:rsidR="007E6813" w:rsidRPr="008A2F9A" w:rsidRDefault="00AD6288" w:rsidP="00A7479C">
      <w:pPr>
        <w:spacing w:after="60"/>
        <w:rPr>
          <w:sz w:val="20"/>
          <w:szCs w:val="20"/>
        </w:rPr>
      </w:pPr>
      <w:r w:rsidRPr="008A2F9A">
        <w:rPr>
          <w:sz w:val="20"/>
          <w:szCs w:val="20"/>
          <w:vertAlign w:val="superscript"/>
        </w:rPr>
        <w:t>2</w:t>
      </w:r>
      <w:r w:rsidRPr="008A2F9A">
        <w:rPr>
          <w:sz w:val="20"/>
          <w:szCs w:val="20"/>
        </w:rPr>
        <w:t xml:space="preserve"> </w:t>
      </w:r>
      <w:r w:rsidR="007E6813" w:rsidRPr="008A2F9A">
        <w:rPr>
          <w:sz w:val="20"/>
          <w:szCs w:val="20"/>
        </w:rPr>
        <w:t xml:space="preserve">Медицинский центр Администрации ветеранов г. </w:t>
      </w:r>
      <w:r w:rsidRPr="008A2F9A">
        <w:rPr>
          <w:sz w:val="20"/>
          <w:szCs w:val="20"/>
        </w:rPr>
        <w:t xml:space="preserve">Денвер, </w:t>
      </w:r>
      <w:r w:rsidR="007E6813" w:rsidRPr="008A2F9A">
        <w:rPr>
          <w:sz w:val="20"/>
          <w:szCs w:val="20"/>
        </w:rPr>
        <w:t>г. Денвер, штат Колорадо, США.</w:t>
      </w:r>
    </w:p>
    <w:p w:rsidR="007E6813" w:rsidRPr="008A2F9A" w:rsidRDefault="00AD6288" w:rsidP="00911206">
      <w:pPr>
        <w:spacing w:after="60"/>
        <w:jc w:val="both"/>
        <w:rPr>
          <w:sz w:val="20"/>
          <w:szCs w:val="20"/>
        </w:rPr>
      </w:pPr>
      <w:r w:rsidRPr="008A2F9A">
        <w:rPr>
          <w:sz w:val="20"/>
          <w:szCs w:val="20"/>
          <w:vertAlign w:val="superscript"/>
        </w:rPr>
        <w:t>3</w:t>
      </w:r>
      <w:r w:rsidR="007E6813" w:rsidRPr="008A2F9A">
        <w:rPr>
          <w:sz w:val="20"/>
          <w:szCs w:val="20"/>
        </w:rPr>
        <w:t>Школа</w:t>
      </w:r>
      <w:r w:rsidRPr="008A2F9A">
        <w:rPr>
          <w:sz w:val="20"/>
          <w:szCs w:val="20"/>
        </w:rPr>
        <w:t xml:space="preserve"> общественного зд</w:t>
      </w:r>
      <w:r w:rsidR="007E6813" w:rsidRPr="008A2F9A">
        <w:rPr>
          <w:sz w:val="20"/>
          <w:szCs w:val="20"/>
        </w:rPr>
        <w:t>равоохранения</w:t>
      </w:r>
      <w:r w:rsidRPr="008A2F9A">
        <w:rPr>
          <w:sz w:val="20"/>
          <w:szCs w:val="20"/>
        </w:rPr>
        <w:t xml:space="preserve"> </w:t>
      </w:r>
      <w:r w:rsidR="004C06F4" w:rsidRPr="008A2F9A">
        <w:rPr>
          <w:sz w:val="20"/>
          <w:szCs w:val="20"/>
        </w:rPr>
        <w:t>у</w:t>
      </w:r>
      <w:r w:rsidRPr="008A2F9A">
        <w:rPr>
          <w:sz w:val="20"/>
          <w:szCs w:val="20"/>
        </w:rPr>
        <w:t>ниверситет</w:t>
      </w:r>
      <w:r w:rsidR="007E6813" w:rsidRPr="008A2F9A">
        <w:rPr>
          <w:sz w:val="20"/>
          <w:szCs w:val="20"/>
        </w:rPr>
        <w:t>а</w:t>
      </w:r>
      <w:r w:rsidRPr="008A2F9A">
        <w:rPr>
          <w:sz w:val="20"/>
          <w:szCs w:val="20"/>
        </w:rPr>
        <w:t xml:space="preserve"> </w:t>
      </w:r>
      <w:r w:rsidR="007E6813" w:rsidRPr="008A2F9A">
        <w:rPr>
          <w:sz w:val="20"/>
          <w:szCs w:val="20"/>
        </w:rPr>
        <w:t xml:space="preserve">шт. </w:t>
      </w:r>
      <w:r w:rsidRPr="008A2F9A">
        <w:rPr>
          <w:sz w:val="20"/>
          <w:szCs w:val="20"/>
        </w:rPr>
        <w:t xml:space="preserve">Колорадо в Денвере, </w:t>
      </w:r>
      <w:r w:rsidR="007E6813" w:rsidRPr="008A2F9A">
        <w:rPr>
          <w:sz w:val="20"/>
          <w:szCs w:val="20"/>
        </w:rPr>
        <w:t xml:space="preserve">г. </w:t>
      </w:r>
      <w:r w:rsidRPr="008A2F9A">
        <w:rPr>
          <w:sz w:val="20"/>
          <w:szCs w:val="20"/>
        </w:rPr>
        <w:t xml:space="preserve">Денвер, </w:t>
      </w:r>
      <w:r w:rsidR="007E6813" w:rsidRPr="008A2F9A">
        <w:rPr>
          <w:sz w:val="20"/>
          <w:szCs w:val="20"/>
        </w:rPr>
        <w:t>штат Колорадо, США.</w:t>
      </w:r>
    </w:p>
    <w:p w:rsidR="007E6813" w:rsidRPr="008A2F9A" w:rsidRDefault="00AD6288" w:rsidP="00911206">
      <w:pPr>
        <w:spacing w:after="60"/>
        <w:jc w:val="both"/>
        <w:rPr>
          <w:sz w:val="20"/>
          <w:szCs w:val="20"/>
        </w:rPr>
      </w:pPr>
      <w:r w:rsidRPr="008A2F9A">
        <w:rPr>
          <w:sz w:val="20"/>
          <w:szCs w:val="20"/>
          <w:vertAlign w:val="superscript"/>
        </w:rPr>
        <w:t>4</w:t>
      </w:r>
      <w:r w:rsidR="007E6813" w:rsidRPr="008A2F9A">
        <w:rPr>
          <w:sz w:val="20"/>
          <w:szCs w:val="20"/>
        </w:rPr>
        <w:t xml:space="preserve"> Медицинский центр Администрации ветеранов г. </w:t>
      </w:r>
      <w:r w:rsidRPr="008A2F9A">
        <w:rPr>
          <w:sz w:val="20"/>
          <w:szCs w:val="20"/>
        </w:rPr>
        <w:t xml:space="preserve">Сент-Луис, </w:t>
      </w:r>
      <w:r w:rsidR="007E6813" w:rsidRPr="008A2F9A">
        <w:rPr>
          <w:sz w:val="20"/>
          <w:szCs w:val="20"/>
        </w:rPr>
        <w:t>г. Сент-Луис, штат Миссури, США.</w:t>
      </w:r>
    </w:p>
    <w:p w:rsidR="007E6813" w:rsidRPr="008A2F9A" w:rsidRDefault="00AD6288" w:rsidP="00FE4761">
      <w:pPr>
        <w:spacing w:after="360"/>
        <w:rPr>
          <w:sz w:val="20"/>
          <w:szCs w:val="20"/>
        </w:rPr>
      </w:pPr>
      <w:r w:rsidRPr="008A2F9A">
        <w:rPr>
          <w:sz w:val="20"/>
          <w:szCs w:val="20"/>
          <w:vertAlign w:val="superscript"/>
        </w:rPr>
        <w:t>5</w:t>
      </w:r>
      <w:r w:rsidR="007E6813" w:rsidRPr="008A2F9A">
        <w:rPr>
          <w:sz w:val="20"/>
          <w:szCs w:val="20"/>
          <w:vertAlign w:val="superscript"/>
        </w:rPr>
        <w:t xml:space="preserve"> </w:t>
      </w:r>
      <w:r w:rsidR="007E6813" w:rsidRPr="008A2F9A">
        <w:rPr>
          <w:sz w:val="20"/>
          <w:szCs w:val="20"/>
        </w:rPr>
        <w:t>Институт медицинских исследований Кайзер Перманент штата</w:t>
      </w:r>
      <w:r w:rsidR="00614B41" w:rsidRPr="008A2F9A">
        <w:rPr>
          <w:sz w:val="20"/>
          <w:szCs w:val="20"/>
        </w:rPr>
        <w:t xml:space="preserve"> </w:t>
      </w:r>
      <w:r w:rsidR="007E6813" w:rsidRPr="008A2F9A">
        <w:rPr>
          <w:sz w:val="20"/>
          <w:szCs w:val="20"/>
        </w:rPr>
        <w:t>Колорадо,</w:t>
      </w:r>
      <w:r w:rsidR="00614B41" w:rsidRPr="008A2F9A">
        <w:rPr>
          <w:sz w:val="20"/>
          <w:szCs w:val="20"/>
        </w:rPr>
        <w:t xml:space="preserve"> </w:t>
      </w:r>
      <w:r w:rsidR="007E6813" w:rsidRPr="008A2F9A">
        <w:rPr>
          <w:sz w:val="20"/>
          <w:szCs w:val="20"/>
        </w:rPr>
        <w:t xml:space="preserve">г. </w:t>
      </w:r>
      <w:r w:rsidRPr="008A2F9A">
        <w:rPr>
          <w:sz w:val="20"/>
          <w:szCs w:val="20"/>
        </w:rPr>
        <w:t>Денвер</w:t>
      </w:r>
      <w:r w:rsidR="007E6813" w:rsidRPr="008A2F9A">
        <w:rPr>
          <w:sz w:val="20"/>
          <w:szCs w:val="20"/>
        </w:rPr>
        <w:t>, штат Колорадо, США.</w:t>
      </w:r>
    </w:p>
    <w:p w:rsidR="006411FA" w:rsidRPr="008A2F9A" w:rsidRDefault="00FE4761" w:rsidP="00FE4761">
      <w:pPr>
        <w:spacing w:after="60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>Краткое изложение статьи</w:t>
      </w:r>
    </w:p>
    <w:p w:rsidR="00614B41" w:rsidRPr="008A2F9A" w:rsidRDefault="006012C3" w:rsidP="006012C3">
      <w:pPr>
        <w:jc w:val="both"/>
        <w:rPr>
          <w:sz w:val="20"/>
          <w:szCs w:val="20"/>
        </w:rPr>
      </w:pPr>
      <w:r w:rsidRPr="008A2F9A">
        <w:rPr>
          <w:b/>
          <w:sz w:val="20"/>
          <w:szCs w:val="20"/>
        </w:rPr>
        <w:t>Предпосылки к исследованию.</w:t>
      </w:r>
      <w:r w:rsidRPr="008A2F9A">
        <w:rPr>
          <w:sz w:val="20"/>
          <w:szCs w:val="20"/>
        </w:rPr>
        <w:t xml:space="preserve"> Не</w:t>
      </w:r>
      <w:r w:rsidR="00D32CA1" w:rsidRPr="008A2F9A">
        <w:rPr>
          <w:sz w:val="20"/>
          <w:szCs w:val="20"/>
        </w:rPr>
        <w:t>которые из</w:t>
      </w:r>
      <w:r w:rsidRPr="008A2F9A">
        <w:rPr>
          <w:sz w:val="20"/>
          <w:szCs w:val="20"/>
        </w:rPr>
        <w:t xml:space="preserve"> </w:t>
      </w:r>
      <w:proofErr w:type="spellStart"/>
      <w:r w:rsidR="003208CC" w:rsidRPr="008A2F9A">
        <w:rPr>
          <w:sz w:val="20"/>
          <w:szCs w:val="20"/>
        </w:rPr>
        <w:t>антитромбоцитарных</w:t>
      </w:r>
      <w:proofErr w:type="spellEnd"/>
      <w:r w:rsidR="003208CC" w:rsidRPr="008A2F9A">
        <w:rPr>
          <w:sz w:val="20"/>
          <w:szCs w:val="20"/>
        </w:rPr>
        <w:t xml:space="preserve"> (</w:t>
      </w:r>
      <w:proofErr w:type="spellStart"/>
      <w:r w:rsidR="00AC0165" w:rsidRPr="008A2F9A">
        <w:rPr>
          <w:sz w:val="20"/>
          <w:szCs w:val="20"/>
        </w:rPr>
        <w:t>антиагрегантных</w:t>
      </w:r>
      <w:proofErr w:type="spellEnd"/>
      <w:r w:rsidR="00AC0165" w:rsidRPr="008A2F9A">
        <w:rPr>
          <w:sz w:val="20"/>
          <w:szCs w:val="20"/>
        </w:rPr>
        <w:t xml:space="preserve">) </w:t>
      </w:r>
      <w:r w:rsidRPr="008A2F9A">
        <w:rPr>
          <w:sz w:val="20"/>
          <w:szCs w:val="20"/>
        </w:rPr>
        <w:t xml:space="preserve">препаратов, </w:t>
      </w:r>
      <w:r w:rsidR="00D32CA1" w:rsidRPr="008A2F9A">
        <w:rPr>
          <w:sz w:val="20"/>
          <w:szCs w:val="20"/>
        </w:rPr>
        <w:t>которые применяются</w:t>
      </w:r>
      <w:r w:rsidRPr="008A2F9A">
        <w:rPr>
          <w:sz w:val="20"/>
          <w:szCs w:val="20"/>
        </w:rPr>
        <w:t xml:space="preserve"> во время и после </w:t>
      </w:r>
      <w:proofErr w:type="spellStart"/>
      <w:r w:rsidRPr="008A2F9A">
        <w:rPr>
          <w:sz w:val="20"/>
          <w:szCs w:val="20"/>
        </w:rPr>
        <w:t>чрескожного</w:t>
      </w:r>
      <w:proofErr w:type="spellEnd"/>
      <w:r w:rsidRPr="008A2F9A">
        <w:rPr>
          <w:sz w:val="20"/>
          <w:szCs w:val="20"/>
        </w:rPr>
        <w:t xml:space="preserve"> коронарного вмешательства (ЧКВ), противопоказаны для </w:t>
      </w:r>
      <w:r w:rsidR="00F35869" w:rsidRPr="008A2F9A">
        <w:rPr>
          <w:sz w:val="20"/>
          <w:szCs w:val="20"/>
        </w:rPr>
        <w:t>отдельных</w:t>
      </w:r>
      <w:r w:rsidRPr="008A2F9A">
        <w:rPr>
          <w:sz w:val="20"/>
          <w:szCs w:val="20"/>
        </w:rPr>
        <w:t xml:space="preserve"> групп пациентов. </w:t>
      </w:r>
      <w:r w:rsidR="00F35869" w:rsidRPr="008A2F9A">
        <w:rPr>
          <w:sz w:val="20"/>
          <w:szCs w:val="20"/>
        </w:rPr>
        <w:t>Широкая</w:t>
      </w:r>
      <w:r w:rsidRPr="008A2F9A">
        <w:rPr>
          <w:sz w:val="20"/>
          <w:szCs w:val="20"/>
        </w:rPr>
        <w:t xml:space="preserve"> оценка использования противопоказанных лекарств</w:t>
      </w:r>
      <w:r w:rsidR="00AC0165" w:rsidRPr="008A2F9A">
        <w:rPr>
          <w:sz w:val="20"/>
          <w:szCs w:val="20"/>
        </w:rPr>
        <w:t>енных препаратов</w:t>
      </w:r>
      <w:r w:rsidRPr="008A2F9A">
        <w:rPr>
          <w:sz w:val="20"/>
          <w:szCs w:val="20"/>
        </w:rPr>
        <w:t xml:space="preserve"> и связанных с ними клинических исходов </w:t>
      </w:r>
      <w:r w:rsidR="00D32CA1" w:rsidRPr="008A2F9A">
        <w:rPr>
          <w:sz w:val="20"/>
          <w:szCs w:val="20"/>
        </w:rPr>
        <w:t>недостаточно</w:t>
      </w:r>
      <w:r w:rsidR="00F35869" w:rsidRPr="008A2F9A">
        <w:rPr>
          <w:sz w:val="20"/>
          <w:szCs w:val="20"/>
        </w:rPr>
        <w:t xml:space="preserve"> полно описана</w:t>
      </w:r>
      <w:r w:rsidRPr="008A2F9A">
        <w:rPr>
          <w:sz w:val="20"/>
          <w:szCs w:val="20"/>
        </w:rPr>
        <w:t>.</w:t>
      </w:r>
    </w:p>
    <w:p w:rsidR="008A2F9A" w:rsidRDefault="006012C3" w:rsidP="008A2F9A">
      <w:pPr>
        <w:jc w:val="both"/>
        <w:rPr>
          <w:sz w:val="20"/>
          <w:szCs w:val="20"/>
        </w:rPr>
      </w:pPr>
      <w:r w:rsidRPr="008A2F9A">
        <w:rPr>
          <w:b/>
          <w:sz w:val="20"/>
          <w:szCs w:val="20"/>
        </w:rPr>
        <w:t>Методы и результаты.</w:t>
      </w:r>
      <w:r w:rsidRPr="008A2F9A">
        <w:rPr>
          <w:sz w:val="20"/>
          <w:szCs w:val="20"/>
        </w:rPr>
        <w:t xml:space="preserve"> Используя </w:t>
      </w:r>
      <w:r w:rsidR="00AC0165" w:rsidRPr="008A2F9A">
        <w:rPr>
          <w:sz w:val="20"/>
          <w:szCs w:val="20"/>
        </w:rPr>
        <w:t>данные</w:t>
      </w:r>
      <w:r w:rsidR="005A4BC6" w:rsidRPr="008A2F9A">
        <w:rPr>
          <w:sz w:val="20"/>
          <w:szCs w:val="20"/>
        </w:rPr>
        <w:t xml:space="preserve"> </w:t>
      </w:r>
      <w:r w:rsidR="00D32CA1" w:rsidRPr="008A2F9A">
        <w:rPr>
          <w:sz w:val="20"/>
          <w:szCs w:val="20"/>
        </w:rPr>
        <w:t>н</w:t>
      </w:r>
      <w:r w:rsidR="005A4BC6" w:rsidRPr="008A2F9A">
        <w:rPr>
          <w:sz w:val="20"/>
          <w:szCs w:val="20"/>
        </w:rPr>
        <w:t xml:space="preserve">ациональной программы Администрации ветеранов (АВ) </w:t>
      </w:r>
      <w:r w:rsidR="00A7479C" w:rsidRPr="008A2F9A">
        <w:rPr>
          <w:sz w:val="20"/>
          <w:szCs w:val="20"/>
        </w:rPr>
        <w:t xml:space="preserve">VA CART </w:t>
      </w:r>
      <w:r w:rsidR="005A4BC6" w:rsidRPr="008A2F9A">
        <w:rPr>
          <w:sz w:val="20"/>
          <w:szCs w:val="20"/>
        </w:rPr>
        <w:t>по клинической оценк</w:t>
      </w:r>
      <w:r w:rsidR="00D32CA1" w:rsidRPr="008A2F9A">
        <w:rPr>
          <w:sz w:val="20"/>
          <w:szCs w:val="20"/>
        </w:rPr>
        <w:t>е</w:t>
      </w:r>
      <w:r w:rsidR="005A4BC6" w:rsidRPr="008A2F9A">
        <w:rPr>
          <w:sz w:val="20"/>
          <w:szCs w:val="20"/>
        </w:rPr>
        <w:t>, отчетности и отслеживанию</w:t>
      </w:r>
      <w:r w:rsidR="00F148BE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все</w:t>
      </w:r>
      <w:r w:rsidR="00100A63" w:rsidRPr="008A2F9A">
        <w:rPr>
          <w:sz w:val="20"/>
          <w:szCs w:val="20"/>
        </w:rPr>
        <w:t>х случа</w:t>
      </w:r>
      <w:r w:rsidR="00144C3A" w:rsidRPr="008A2F9A">
        <w:rPr>
          <w:sz w:val="20"/>
          <w:szCs w:val="20"/>
        </w:rPr>
        <w:t>ев</w:t>
      </w:r>
      <w:r w:rsidRPr="008A2F9A">
        <w:rPr>
          <w:sz w:val="20"/>
          <w:szCs w:val="20"/>
        </w:rPr>
        <w:t xml:space="preserve"> ЧКВ в период между 2007-2013 годами, </w:t>
      </w:r>
      <w:r w:rsidR="00AC0165" w:rsidRPr="008A2F9A">
        <w:rPr>
          <w:sz w:val="20"/>
          <w:szCs w:val="20"/>
        </w:rPr>
        <w:t>авторы</w:t>
      </w:r>
      <w:r w:rsidRPr="008A2F9A">
        <w:rPr>
          <w:sz w:val="20"/>
          <w:szCs w:val="20"/>
        </w:rPr>
        <w:t xml:space="preserve"> </w:t>
      </w:r>
      <w:r w:rsidR="00AC0165" w:rsidRPr="008A2F9A">
        <w:rPr>
          <w:sz w:val="20"/>
          <w:szCs w:val="20"/>
        </w:rPr>
        <w:t xml:space="preserve">провели оценку </w:t>
      </w:r>
      <w:r w:rsidRPr="008A2F9A">
        <w:rPr>
          <w:sz w:val="20"/>
          <w:szCs w:val="20"/>
        </w:rPr>
        <w:t>пациентов</w:t>
      </w:r>
      <w:r w:rsidR="00D32CA1" w:rsidRPr="008A2F9A">
        <w:rPr>
          <w:sz w:val="20"/>
          <w:szCs w:val="20"/>
        </w:rPr>
        <w:t xml:space="preserve"> </w:t>
      </w:r>
      <w:r w:rsidR="00A7479C" w:rsidRPr="008A2F9A">
        <w:rPr>
          <w:sz w:val="20"/>
          <w:szCs w:val="20"/>
        </w:rPr>
        <w:t xml:space="preserve">во время и после ЧКВ </w:t>
      </w:r>
      <w:r w:rsidRPr="008A2F9A">
        <w:rPr>
          <w:sz w:val="20"/>
          <w:szCs w:val="20"/>
        </w:rPr>
        <w:t>с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 xml:space="preserve">противопоказаниями к </w:t>
      </w:r>
      <w:r w:rsidR="007C5C5E" w:rsidRPr="008A2F9A">
        <w:rPr>
          <w:sz w:val="20"/>
          <w:szCs w:val="20"/>
        </w:rPr>
        <w:t>общепринятым</w:t>
      </w:r>
      <w:r w:rsidRPr="008A2F9A">
        <w:rPr>
          <w:sz w:val="20"/>
          <w:szCs w:val="20"/>
        </w:rPr>
        <w:t xml:space="preserve"> </w:t>
      </w:r>
      <w:proofErr w:type="spellStart"/>
      <w:r w:rsidR="003208CC" w:rsidRPr="008A2F9A">
        <w:rPr>
          <w:sz w:val="20"/>
          <w:szCs w:val="20"/>
        </w:rPr>
        <w:t>антитромбоцитарным</w:t>
      </w:r>
      <w:proofErr w:type="spellEnd"/>
      <w:r w:rsidRPr="008A2F9A">
        <w:rPr>
          <w:sz w:val="20"/>
          <w:szCs w:val="20"/>
        </w:rPr>
        <w:t xml:space="preserve"> препаратам</w:t>
      </w:r>
      <w:r w:rsidR="00D32CA1" w:rsidRPr="008A2F9A">
        <w:rPr>
          <w:sz w:val="20"/>
          <w:szCs w:val="20"/>
        </w:rPr>
        <w:t xml:space="preserve">, </w:t>
      </w:r>
      <w:r w:rsidR="00AC0165" w:rsidRPr="008A2F9A">
        <w:rPr>
          <w:sz w:val="20"/>
          <w:szCs w:val="20"/>
        </w:rPr>
        <w:t xml:space="preserve">которые </w:t>
      </w:r>
      <w:r w:rsidRPr="008A2F9A">
        <w:rPr>
          <w:sz w:val="20"/>
          <w:szCs w:val="20"/>
        </w:rPr>
        <w:t>опреде</w:t>
      </w:r>
      <w:r w:rsidR="00AC0165" w:rsidRPr="008A2F9A">
        <w:rPr>
          <w:sz w:val="20"/>
          <w:szCs w:val="20"/>
        </w:rPr>
        <w:t>лены в инструкции по применению лекарственн</w:t>
      </w:r>
      <w:r w:rsidR="00F148BE" w:rsidRPr="008A2F9A">
        <w:rPr>
          <w:sz w:val="20"/>
          <w:szCs w:val="20"/>
        </w:rPr>
        <w:t>ых</w:t>
      </w:r>
      <w:r w:rsidR="00AC0165" w:rsidRPr="008A2F9A">
        <w:rPr>
          <w:sz w:val="20"/>
          <w:szCs w:val="20"/>
        </w:rPr>
        <w:t xml:space="preserve"> препарат</w:t>
      </w:r>
      <w:r w:rsidR="00F148BE" w:rsidRPr="008A2F9A">
        <w:rPr>
          <w:sz w:val="20"/>
          <w:szCs w:val="20"/>
        </w:rPr>
        <w:t>ов</w:t>
      </w:r>
      <w:r w:rsidR="00A7479C" w:rsidRPr="008A2F9A">
        <w:rPr>
          <w:sz w:val="20"/>
          <w:szCs w:val="20"/>
        </w:rPr>
        <w:t>.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Скорректированная связь между использованием противопоказанных лекарств</w:t>
      </w:r>
      <w:r w:rsidR="00AC0165" w:rsidRPr="008A2F9A">
        <w:rPr>
          <w:sz w:val="20"/>
          <w:szCs w:val="20"/>
        </w:rPr>
        <w:t>енных препаратов</w:t>
      </w:r>
      <w:r w:rsidRPr="008A2F9A">
        <w:rPr>
          <w:sz w:val="20"/>
          <w:szCs w:val="20"/>
        </w:rPr>
        <w:t xml:space="preserve"> и </w:t>
      </w:r>
      <w:r w:rsidR="00D32CA1" w:rsidRPr="008A2F9A">
        <w:rPr>
          <w:sz w:val="20"/>
          <w:szCs w:val="20"/>
        </w:rPr>
        <w:t>исходами</w:t>
      </w:r>
      <w:r w:rsidR="00F35869" w:rsidRPr="008A2F9A">
        <w:rPr>
          <w:sz w:val="20"/>
          <w:szCs w:val="20"/>
        </w:rPr>
        <w:t>, такими как</w:t>
      </w:r>
      <w:r w:rsidR="00D32CA1"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перипроцедурно</w:t>
      </w:r>
      <w:r w:rsidR="00D32CA1" w:rsidRPr="008A2F9A">
        <w:rPr>
          <w:sz w:val="20"/>
          <w:szCs w:val="20"/>
        </w:rPr>
        <w:t>е</w:t>
      </w:r>
      <w:proofErr w:type="spellEnd"/>
      <w:r w:rsidRPr="008A2F9A">
        <w:rPr>
          <w:sz w:val="20"/>
          <w:szCs w:val="20"/>
        </w:rPr>
        <w:t xml:space="preserve"> кровотечени</w:t>
      </w:r>
      <w:r w:rsidR="00D32CA1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и 30-</w:t>
      </w:r>
      <w:r w:rsidR="008A2F9A" w:rsidRPr="008A2F9A">
        <w:rPr>
          <w:sz w:val="20"/>
          <w:szCs w:val="20"/>
        </w:rPr>
        <w:t>дневная смертность были оценены методом пропорциональных рисков Кокса с использованием взвешивания обратной вероятности (</w:t>
      </w:r>
      <w:proofErr w:type="spellStart"/>
      <w:r w:rsidR="008A2F9A" w:rsidRPr="008A2F9A">
        <w:rPr>
          <w:sz w:val="20"/>
          <w:szCs w:val="20"/>
        </w:rPr>
        <w:t>inverse</w:t>
      </w:r>
      <w:proofErr w:type="spellEnd"/>
      <w:r w:rsidR="008A2F9A" w:rsidRPr="008A2F9A">
        <w:rPr>
          <w:sz w:val="20"/>
          <w:szCs w:val="20"/>
        </w:rPr>
        <w:t xml:space="preserve"> </w:t>
      </w:r>
      <w:proofErr w:type="spellStart"/>
      <w:r w:rsidR="008A2F9A" w:rsidRPr="008A2F9A">
        <w:rPr>
          <w:sz w:val="20"/>
          <w:szCs w:val="20"/>
        </w:rPr>
        <w:t>probability</w:t>
      </w:r>
      <w:proofErr w:type="spellEnd"/>
      <w:r w:rsidR="008A2F9A" w:rsidRPr="008A2F9A">
        <w:rPr>
          <w:sz w:val="20"/>
          <w:szCs w:val="20"/>
        </w:rPr>
        <w:t xml:space="preserve"> </w:t>
      </w:r>
      <w:proofErr w:type="spellStart"/>
      <w:r w:rsidR="008A2F9A" w:rsidRPr="008A2F9A">
        <w:rPr>
          <w:sz w:val="20"/>
          <w:szCs w:val="20"/>
        </w:rPr>
        <w:t>weighting</w:t>
      </w:r>
      <w:proofErr w:type="spellEnd"/>
      <w:r w:rsidR="008A2F9A" w:rsidRPr="008A2F9A">
        <w:rPr>
          <w:sz w:val="20"/>
          <w:szCs w:val="20"/>
        </w:rPr>
        <w:t xml:space="preserve">). Среди 64294 пациентов, перенесших ЧКВ, 11315 (17,6%) имели противопоказание к общепринятым </w:t>
      </w:r>
      <w:proofErr w:type="spellStart"/>
      <w:r w:rsidR="008A2F9A" w:rsidRPr="008A2F9A">
        <w:rPr>
          <w:sz w:val="20"/>
          <w:szCs w:val="20"/>
        </w:rPr>
        <w:t>антиагрегантным</w:t>
      </w:r>
      <w:proofErr w:type="spellEnd"/>
      <w:r w:rsidR="008A2F9A" w:rsidRPr="008A2F9A">
        <w:rPr>
          <w:sz w:val="20"/>
          <w:szCs w:val="20"/>
        </w:rPr>
        <w:t xml:space="preserve"> препаратам, и 737 (6,5%) из этих пациентов получали противопоказанные лекарственные препараты. При проведении нескорректированного анализа использование любого противопоказанного лекарственного препарата ассоциировалось, как с увеличением кровотечения, так и с 30-дневной смертностью. В скорректированных моделях использование противопоказанного препарата </w:t>
      </w:r>
      <w:proofErr w:type="spellStart"/>
      <w:r w:rsidR="008A2F9A" w:rsidRPr="008A2F9A">
        <w:rPr>
          <w:sz w:val="20"/>
          <w:szCs w:val="20"/>
        </w:rPr>
        <w:t>абциксимаб</w:t>
      </w:r>
      <w:proofErr w:type="spellEnd"/>
      <w:r w:rsidR="008A2F9A" w:rsidRPr="008A2F9A">
        <w:rPr>
          <w:sz w:val="20"/>
          <w:szCs w:val="20"/>
        </w:rPr>
        <w:t xml:space="preserve"> у пациентов с тромбоцитопенией (ОР/HR/отношение рисков 2,23, 95% ДИ 1,58-3,16) и у пациентов с предшествующим инсультом (ОР 1,93, 95% ДИ 1,37-2,71) оставалось значительно связанным с увеличением кровотечения.</w:t>
      </w:r>
    </w:p>
    <w:p w:rsidR="008A2F9A" w:rsidRPr="008A2F9A" w:rsidRDefault="008A2F9A" w:rsidP="008A2F9A">
      <w:pPr>
        <w:jc w:val="both"/>
        <w:rPr>
          <w:sz w:val="20"/>
          <w:szCs w:val="20"/>
        </w:rPr>
      </w:pPr>
    </w:p>
    <w:p w:rsidR="008A2F9A" w:rsidRPr="008A2F9A" w:rsidRDefault="008A2F9A" w:rsidP="008A2F9A">
      <w:pPr>
        <w:jc w:val="both"/>
        <w:rPr>
          <w:sz w:val="20"/>
          <w:szCs w:val="20"/>
        </w:rPr>
      </w:pPr>
      <w:r w:rsidRPr="008A2F9A">
        <w:rPr>
          <w:sz w:val="20"/>
          <w:szCs w:val="20"/>
        </w:rPr>
        <w:t xml:space="preserve">В скорректированных моделях использование противопоказанного препарата </w:t>
      </w:r>
      <w:proofErr w:type="spellStart"/>
      <w:r w:rsidRPr="008A2F9A">
        <w:rPr>
          <w:sz w:val="20"/>
          <w:szCs w:val="20"/>
        </w:rPr>
        <w:t>абциксимаб</w:t>
      </w:r>
      <w:proofErr w:type="spellEnd"/>
      <w:r w:rsidRPr="008A2F9A">
        <w:rPr>
          <w:sz w:val="20"/>
          <w:szCs w:val="20"/>
        </w:rPr>
        <w:t xml:space="preserve"> не было в значительной степени связано с 30-дневной смертностью. Использование </w:t>
      </w:r>
      <w:proofErr w:type="spellStart"/>
      <w:r w:rsidRPr="008A2F9A">
        <w:rPr>
          <w:sz w:val="20"/>
          <w:szCs w:val="20"/>
        </w:rPr>
        <w:t>эптифибатида</w:t>
      </w:r>
      <w:proofErr w:type="spellEnd"/>
      <w:r w:rsidRPr="008A2F9A">
        <w:rPr>
          <w:sz w:val="20"/>
          <w:szCs w:val="20"/>
        </w:rPr>
        <w:t xml:space="preserve"> у пациентов на гемодиализе не было в значительной степени связано с повышенным риском кровотечения или смертности.</w:t>
      </w:r>
    </w:p>
    <w:p w:rsidR="008A2F9A" w:rsidRPr="008A2F9A" w:rsidRDefault="008A2F9A" w:rsidP="004C134D">
      <w:pPr>
        <w:jc w:val="both"/>
        <w:rPr>
          <w:sz w:val="20"/>
          <w:szCs w:val="20"/>
        </w:rPr>
      </w:pPr>
    </w:p>
    <w:p w:rsidR="008A2F9A" w:rsidRPr="008A2F9A" w:rsidRDefault="008A2F9A" w:rsidP="004C134D">
      <w:pPr>
        <w:jc w:val="both"/>
        <w:rPr>
          <w:sz w:val="20"/>
          <w:szCs w:val="20"/>
        </w:rPr>
        <w:sectPr w:rsidR="008A2F9A" w:rsidRPr="008A2F9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34D" w:rsidRPr="008A2F9A" w:rsidRDefault="004C134D" w:rsidP="004C134D">
      <w:pPr>
        <w:spacing w:after="120"/>
        <w:jc w:val="both"/>
        <w:rPr>
          <w:sz w:val="20"/>
          <w:szCs w:val="20"/>
        </w:rPr>
      </w:pPr>
      <w:r w:rsidRPr="008A2F9A">
        <w:rPr>
          <w:b/>
          <w:sz w:val="20"/>
          <w:szCs w:val="20"/>
        </w:rPr>
        <w:lastRenderedPageBreak/>
        <w:t>Заключение.</w:t>
      </w:r>
      <w:r w:rsidRPr="008A2F9A">
        <w:rPr>
          <w:sz w:val="20"/>
          <w:szCs w:val="20"/>
        </w:rPr>
        <w:t xml:space="preserve"> Около 18% пациентов в этой национальной когорте, перенесших ЧКВ, имели противопоказания к общепринятым </w:t>
      </w:r>
      <w:proofErr w:type="spellStart"/>
      <w:r w:rsidRPr="008A2F9A">
        <w:rPr>
          <w:sz w:val="20"/>
          <w:szCs w:val="20"/>
        </w:rPr>
        <w:t>антитромбоцитарным</w:t>
      </w:r>
      <w:proofErr w:type="spellEnd"/>
      <w:r w:rsidRPr="008A2F9A">
        <w:rPr>
          <w:sz w:val="20"/>
          <w:szCs w:val="20"/>
        </w:rPr>
        <w:t xml:space="preserve"> препаратам. Примерно у 6% этих пациентов, получавших противопоказанные лекарственные препараты, отмечено сопутствующее кровотечение, хотя это не приводило к значительному повышению риска 30-дневной смертности. Продолжающиеся усилия по сокращению использования противопоказанных лекарственных препаратов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 xml:space="preserve">могут помочь избежать </w:t>
      </w:r>
      <w:proofErr w:type="spellStart"/>
      <w:r w:rsidRPr="008A2F9A">
        <w:rPr>
          <w:sz w:val="20"/>
          <w:szCs w:val="20"/>
        </w:rPr>
        <w:t>перипроцедуральных</w:t>
      </w:r>
      <w:proofErr w:type="spellEnd"/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осложнений.</w:t>
      </w:r>
    </w:p>
    <w:p w:rsidR="004C134D" w:rsidRPr="008A2F9A" w:rsidRDefault="004C134D" w:rsidP="004C134D">
      <w:pPr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>Ключевые слова</w:t>
      </w:r>
    </w:p>
    <w:p w:rsidR="004C134D" w:rsidRDefault="00F47FF6" w:rsidP="008A2F9A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Чрес</w:t>
      </w:r>
      <w:r w:rsidR="004C134D" w:rsidRPr="008A2F9A">
        <w:rPr>
          <w:sz w:val="20"/>
          <w:szCs w:val="20"/>
        </w:rPr>
        <w:t>кожное</w:t>
      </w:r>
      <w:proofErr w:type="spellEnd"/>
      <w:r w:rsidR="004C134D" w:rsidRPr="008A2F9A">
        <w:rPr>
          <w:sz w:val="20"/>
          <w:szCs w:val="20"/>
        </w:rPr>
        <w:t xml:space="preserve"> коронарное вмешательство; кровотечение; смертность; </w:t>
      </w:r>
      <w:proofErr w:type="spellStart"/>
      <w:r w:rsidR="004C134D" w:rsidRPr="008A2F9A">
        <w:rPr>
          <w:sz w:val="20"/>
          <w:szCs w:val="20"/>
        </w:rPr>
        <w:t>абциксимаб</w:t>
      </w:r>
      <w:proofErr w:type="spellEnd"/>
      <w:r w:rsidR="004C134D" w:rsidRPr="008A2F9A">
        <w:rPr>
          <w:sz w:val="20"/>
          <w:szCs w:val="20"/>
        </w:rPr>
        <w:t xml:space="preserve">; </w:t>
      </w:r>
      <w:proofErr w:type="spellStart"/>
      <w:r w:rsidR="004C134D" w:rsidRPr="008A2F9A">
        <w:rPr>
          <w:sz w:val="20"/>
          <w:szCs w:val="20"/>
        </w:rPr>
        <w:t>эптифибатид</w:t>
      </w:r>
      <w:proofErr w:type="spellEnd"/>
      <w:r w:rsidR="004C134D" w:rsidRPr="008A2F9A">
        <w:rPr>
          <w:sz w:val="20"/>
          <w:szCs w:val="20"/>
        </w:rPr>
        <w:t>; ошибки применения лекарственного препарата.</w:t>
      </w:r>
    </w:p>
    <w:p w:rsidR="008A2F9A" w:rsidRDefault="008A2F9A" w:rsidP="008A2F9A">
      <w:pPr>
        <w:tabs>
          <w:tab w:val="left" w:pos="7797"/>
        </w:tabs>
        <w:spacing w:line="240" w:lineRule="auto"/>
        <w:ind w:firstLine="1701"/>
        <w:jc w:val="both"/>
        <w:rPr>
          <w:sz w:val="20"/>
          <w:szCs w:val="20"/>
          <w:u w:val="single"/>
        </w:rPr>
      </w:pPr>
      <w:r w:rsidRPr="008A2F9A">
        <w:rPr>
          <w:sz w:val="20"/>
          <w:szCs w:val="20"/>
          <w:u w:val="single"/>
        </w:rPr>
        <w:tab/>
      </w:r>
    </w:p>
    <w:p w:rsidR="008A2F9A" w:rsidRPr="008A2F9A" w:rsidRDefault="008A2F9A" w:rsidP="008A2F9A">
      <w:pPr>
        <w:tabs>
          <w:tab w:val="left" w:pos="7797"/>
        </w:tabs>
        <w:spacing w:line="240" w:lineRule="auto"/>
        <w:ind w:firstLine="1701"/>
        <w:jc w:val="both"/>
        <w:rPr>
          <w:sz w:val="20"/>
          <w:szCs w:val="20"/>
          <w:u w:val="single"/>
        </w:rPr>
      </w:pPr>
    </w:p>
    <w:p w:rsidR="002162FF" w:rsidRPr="008A2F9A" w:rsidRDefault="002162FF" w:rsidP="002162FF">
      <w:pPr>
        <w:spacing w:after="12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>Предпосылки к исследованию</w:t>
      </w:r>
    </w:p>
    <w:p w:rsidR="00614B41" w:rsidRPr="008A2F9A" w:rsidRDefault="00EC0CAC" w:rsidP="00EC0CAC">
      <w:pPr>
        <w:spacing w:after="12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>Ошибки применения лекарственного препарат</w:t>
      </w:r>
      <w:r w:rsidR="00144C3A" w:rsidRPr="008A2F9A">
        <w:rPr>
          <w:sz w:val="20"/>
          <w:szCs w:val="20"/>
        </w:rPr>
        <w:t>а</w:t>
      </w:r>
      <w:r w:rsidRPr="008A2F9A">
        <w:rPr>
          <w:sz w:val="20"/>
          <w:szCs w:val="20"/>
        </w:rPr>
        <w:t xml:space="preserve">, </w:t>
      </w:r>
      <w:r w:rsidR="00F35869" w:rsidRPr="008A2F9A">
        <w:rPr>
          <w:sz w:val="20"/>
          <w:szCs w:val="20"/>
        </w:rPr>
        <w:t>по-видимому</w:t>
      </w:r>
      <w:r w:rsidRPr="008A2F9A">
        <w:rPr>
          <w:sz w:val="20"/>
          <w:szCs w:val="20"/>
        </w:rPr>
        <w:t>, приводят к более 100 000 смертей и потере более 170 миллиардов долларов в год в Соединенных Штатах Америки</w:t>
      </w:r>
      <w:r w:rsidRPr="008A2F9A">
        <w:rPr>
          <w:sz w:val="20"/>
          <w:szCs w:val="20"/>
          <w:vertAlign w:val="superscript"/>
        </w:rPr>
        <w:t>1</w:t>
      </w:r>
      <w:r w:rsidRPr="008A2F9A">
        <w:rPr>
          <w:sz w:val="20"/>
          <w:szCs w:val="20"/>
        </w:rPr>
        <w:t xml:space="preserve">. Маркировка лекарственных препаратов Управлением </w:t>
      </w:r>
      <w:r w:rsidR="00614B41" w:rsidRPr="008A2F9A">
        <w:rPr>
          <w:sz w:val="20"/>
          <w:szCs w:val="20"/>
        </w:rPr>
        <w:t>по санитарному надзору за качеством пищевых продуктов и медикаментов</w:t>
      </w:r>
      <w:r w:rsidRPr="008A2F9A">
        <w:rPr>
          <w:sz w:val="20"/>
          <w:szCs w:val="20"/>
        </w:rPr>
        <w:t xml:space="preserve"> США </w:t>
      </w:r>
      <w:r w:rsidR="00DC0A32" w:rsidRPr="008A2F9A">
        <w:rPr>
          <w:sz w:val="20"/>
          <w:szCs w:val="20"/>
        </w:rPr>
        <w:t xml:space="preserve">(FDA) </w:t>
      </w:r>
      <w:r w:rsidRPr="008A2F9A">
        <w:rPr>
          <w:sz w:val="20"/>
          <w:szCs w:val="20"/>
        </w:rPr>
        <w:t xml:space="preserve">призвана помочь клиницистам избежать использования лекарственных препаратов в </w:t>
      </w:r>
      <w:r w:rsidR="00144C3A" w:rsidRPr="008A2F9A">
        <w:rPr>
          <w:sz w:val="20"/>
          <w:szCs w:val="20"/>
        </w:rPr>
        <w:t>отдельных</w:t>
      </w:r>
      <w:r w:rsidRPr="008A2F9A">
        <w:rPr>
          <w:sz w:val="20"/>
          <w:szCs w:val="20"/>
        </w:rPr>
        <w:t xml:space="preserve"> группах пациентов высокого риска. Тем не менее, существует несколько исследований по </w:t>
      </w:r>
      <w:r w:rsidR="00B71127" w:rsidRPr="008A2F9A">
        <w:rPr>
          <w:sz w:val="20"/>
          <w:szCs w:val="20"/>
        </w:rPr>
        <w:t>увеличению объема</w:t>
      </w:r>
      <w:r w:rsidRPr="008A2F9A">
        <w:rPr>
          <w:sz w:val="20"/>
          <w:szCs w:val="20"/>
        </w:rPr>
        <w:t xml:space="preserve"> применения противопоказанных лекарственных препаратов в клинической практике.</w:t>
      </w:r>
      <w:r w:rsidRPr="008A2F9A">
        <w:rPr>
          <w:sz w:val="20"/>
          <w:szCs w:val="20"/>
          <w:vertAlign w:val="superscript"/>
        </w:rPr>
        <w:t>2-5</w:t>
      </w:r>
      <w:r w:rsidRPr="008A2F9A">
        <w:rPr>
          <w:sz w:val="20"/>
          <w:szCs w:val="20"/>
        </w:rPr>
        <w:t>.</w:t>
      </w:r>
    </w:p>
    <w:p w:rsidR="002162FF" w:rsidRPr="008A2F9A" w:rsidRDefault="00EC0CAC" w:rsidP="00EC0CAC">
      <w:pPr>
        <w:spacing w:after="120"/>
        <w:jc w:val="both"/>
        <w:rPr>
          <w:sz w:val="20"/>
          <w:szCs w:val="20"/>
        </w:rPr>
      </w:pPr>
      <w:proofErr w:type="spellStart"/>
      <w:r w:rsidRPr="008A2F9A">
        <w:rPr>
          <w:sz w:val="20"/>
          <w:szCs w:val="20"/>
        </w:rPr>
        <w:t>Чрескожное</w:t>
      </w:r>
      <w:proofErr w:type="spellEnd"/>
      <w:r w:rsidRPr="008A2F9A">
        <w:rPr>
          <w:sz w:val="20"/>
          <w:szCs w:val="20"/>
        </w:rPr>
        <w:t xml:space="preserve"> коронарное вмешательство (ЧКВ) является клинической ситуацией, при которой может </w:t>
      </w:r>
      <w:r w:rsidR="00B71127" w:rsidRPr="008A2F9A">
        <w:rPr>
          <w:sz w:val="20"/>
          <w:szCs w:val="20"/>
        </w:rPr>
        <w:t>иметь место</w:t>
      </w:r>
      <w:r w:rsidRPr="008A2F9A">
        <w:rPr>
          <w:sz w:val="20"/>
          <w:szCs w:val="20"/>
        </w:rPr>
        <w:t xml:space="preserve"> </w:t>
      </w:r>
      <w:r w:rsidR="00B71127" w:rsidRPr="008A2F9A">
        <w:rPr>
          <w:sz w:val="20"/>
          <w:szCs w:val="20"/>
        </w:rPr>
        <w:t xml:space="preserve">применение </w:t>
      </w:r>
      <w:r w:rsidRPr="008A2F9A">
        <w:rPr>
          <w:sz w:val="20"/>
          <w:szCs w:val="20"/>
        </w:rPr>
        <w:t>ле</w:t>
      </w:r>
      <w:r w:rsidR="00B71127" w:rsidRPr="008A2F9A">
        <w:rPr>
          <w:sz w:val="20"/>
          <w:szCs w:val="20"/>
        </w:rPr>
        <w:t>карственных препаратов, для которых имеется противопоказание</w:t>
      </w:r>
      <w:r w:rsidRPr="008A2F9A">
        <w:rPr>
          <w:sz w:val="20"/>
          <w:szCs w:val="20"/>
        </w:rPr>
        <w:t xml:space="preserve">. Эти процедуры часто выполняются срочно или </w:t>
      </w:r>
      <w:r w:rsidR="00FF047F" w:rsidRPr="008A2F9A">
        <w:rPr>
          <w:sz w:val="20"/>
          <w:szCs w:val="20"/>
        </w:rPr>
        <w:t>в экстренном порядке</w:t>
      </w:r>
      <w:r w:rsidRPr="008A2F9A">
        <w:rPr>
          <w:sz w:val="20"/>
          <w:szCs w:val="20"/>
        </w:rPr>
        <w:t xml:space="preserve">, </w:t>
      </w:r>
      <w:r w:rsidR="00FF047F" w:rsidRPr="008A2F9A">
        <w:rPr>
          <w:sz w:val="20"/>
          <w:szCs w:val="20"/>
        </w:rPr>
        <w:t xml:space="preserve">в ситуации, </w:t>
      </w:r>
      <w:r w:rsidRPr="008A2F9A">
        <w:rPr>
          <w:sz w:val="20"/>
          <w:szCs w:val="20"/>
        </w:rPr>
        <w:t xml:space="preserve">когда </w:t>
      </w:r>
      <w:r w:rsidR="00B71127" w:rsidRPr="008A2F9A">
        <w:rPr>
          <w:sz w:val="20"/>
          <w:szCs w:val="20"/>
        </w:rPr>
        <w:t xml:space="preserve">полные </w:t>
      </w:r>
      <w:r w:rsidRPr="008A2F9A">
        <w:rPr>
          <w:sz w:val="20"/>
          <w:szCs w:val="20"/>
        </w:rPr>
        <w:t xml:space="preserve">данные пациента могут </w:t>
      </w:r>
      <w:r w:rsidR="00B71127" w:rsidRPr="008A2F9A">
        <w:rPr>
          <w:sz w:val="20"/>
          <w:szCs w:val="20"/>
        </w:rPr>
        <w:t>отсутствовать</w:t>
      </w:r>
      <w:r w:rsidRPr="008A2F9A">
        <w:rPr>
          <w:sz w:val="20"/>
          <w:szCs w:val="20"/>
        </w:rPr>
        <w:t xml:space="preserve"> для </w:t>
      </w:r>
      <w:r w:rsidR="00B71127" w:rsidRPr="008A2F9A">
        <w:rPr>
          <w:sz w:val="20"/>
          <w:szCs w:val="20"/>
        </w:rPr>
        <w:t>ознакомления с ними врача</w:t>
      </w:r>
      <w:r w:rsidRPr="008A2F9A">
        <w:rPr>
          <w:sz w:val="20"/>
          <w:szCs w:val="20"/>
        </w:rPr>
        <w:t xml:space="preserve">, </w:t>
      </w:r>
      <w:r w:rsidR="00B71127" w:rsidRPr="008A2F9A">
        <w:rPr>
          <w:sz w:val="20"/>
          <w:szCs w:val="20"/>
        </w:rPr>
        <w:t xml:space="preserve">назначающего </w:t>
      </w:r>
      <w:r w:rsidRPr="008A2F9A">
        <w:rPr>
          <w:sz w:val="20"/>
          <w:szCs w:val="20"/>
        </w:rPr>
        <w:t>лекарств</w:t>
      </w:r>
      <w:r w:rsidR="00B71127" w:rsidRPr="008A2F9A">
        <w:rPr>
          <w:sz w:val="20"/>
          <w:szCs w:val="20"/>
        </w:rPr>
        <w:t>енный препарат</w:t>
      </w:r>
      <w:r w:rsidRPr="008A2F9A">
        <w:rPr>
          <w:sz w:val="20"/>
          <w:szCs w:val="20"/>
        </w:rPr>
        <w:t xml:space="preserve">. </w:t>
      </w:r>
      <w:r w:rsidR="00144C3A" w:rsidRPr="008A2F9A">
        <w:rPr>
          <w:sz w:val="20"/>
          <w:szCs w:val="20"/>
        </w:rPr>
        <w:t>Так, н</w:t>
      </w:r>
      <w:r w:rsidRPr="008A2F9A">
        <w:rPr>
          <w:sz w:val="20"/>
          <w:szCs w:val="20"/>
        </w:rPr>
        <w:t xml:space="preserve">апример, в предшествующем исследовании было </w:t>
      </w:r>
      <w:r w:rsidR="00B71127" w:rsidRPr="008A2F9A">
        <w:rPr>
          <w:sz w:val="20"/>
          <w:szCs w:val="20"/>
        </w:rPr>
        <w:t xml:space="preserve">указано на </w:t>
      </w:r>
      <w:r w:rsidRPr="008A2F9A">
        <w:rPr>
          <w:sz w:val="20"/>
          <w:szCs w:val="20"/>
        </w:rPr>
        <w:t>противопоказан</w:t>
      </w:r>
      <w:r w:rsidR="00FF047F" w:rsidRPr="008A2F9A">
        <w:rPr>
          <w:sz w:val="20"/>
          <w:szCs w:val="20"/>
        </w:rPr>
        <w:t>ное</w:t>
      </w:r>
      <w:r w:rsidRPr="008A2F9A">
        <w:rPr>
          <w:sz w:val="20"/>
          <w:szCs w:val="20"/>
        </w:rPr>
        <w:t xml:space="preserve"> </w:t>
      </w:r>
      <w:r w:rsidR="00FF047F" w:rsidRPr="008A2F9A">
        <w:rPr>
          <w:sz w:val="20"/>
          <w:szCs w:val="20"/>
        </w:rPr>
        <w:t>применение</w:t>
      </w:r>
      <w:r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антикоагулянтных</w:t>
      </w:r>
      <w:proofErr w:type="spellEnd"/>
      <w:r w:rsidRPr="008A2F9A">
        <w:rPr>
          <w:sz w:val="20"/>
          <w:szCs w:val="20"/>
        </w:rPr>
        <w:t xml:space="preserve"> препаратов у 22,3% пациентов</w:t>
      </w:r>
      <w:r w:rsidR="00B71127" w:rsidRPr="008A2F9A">
        <w:rPr>
          <w:sz w:val="20"/>
          <w:szCs w:val="20"/>
        </w:rPr>
        <w:t xml:space="preserve"> на</w:t>
      </w:r>
      <w:r w:rsidRPr="008A2F9A">
        <w:rPr>
          <w:sz w:val="20"/>
          <w:szCs w:val="20"/>
        </w:rPr>
        <w:t xml:space="preserve"> </w:t>
      </w:r>
      <w:r w:rsidR="00FF047F" w:rsidRPr="008A2F9A">
        <w:rPr>
          <w:sz w:val="20"/>
          <w:szCs w:val="20"/>
        </w:rPr>
        <w:t>гемо</w:t>
      </w:r>
      <w:r w:rsidRPr="008A2F9A">
        <w:rPr>
          <w:sz w:val="20"/>
          <w:szCs w:val="20"/>
        </w:rPr>
        <w:t>диализ</w:t>
      </w:r>
      <w:r w:rsidR="00B71127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>, проходящих ЧКВ</w:t>
      </w:r>
      <w:r w:rsidR="00144C3A" w:rsidRPr="008A2F9A">
        <w:rPr>
          <w:sz w:val="20"/>
          <w:szCs w:val="20"/>
          <w:vertAlign w:val="superscript"/>
        </w:rPr>
        <w:t>3</w:t>
      </w:r>
      <w:r w:rsidRPr="008A2F9A">
        <w:rPr>
          <w:sz w:val="20"/>
          <w:szCs w:val="20"/>
        </w:rPr>
        <w:t xml:space="preserve">. </w:t>
      </w:r>
      <w:r w:rsidR="00FF047F" w:rsidRPr="008A2F9A">
        <w:rPr>
          <w:sz w:val="20"/>
          <w:szCs w:val="20"/>
        </w:rPr>
        <w:t>Несмотря на то, что</w:t>
      </w:r>
      <w:r w:rsidRPr="008A2F9A">
        <w:rPr>
          <w:sz w:val="20"/>
          <w:szCs w:val="20"/>
        </w:rPr>
        <w:t xml:space="preserve"> не</w:t>
      </w:r>
      <w:r w:rsidR="00B71127" w:rsidRPr="008A2F9A">
        <w:rPr>
          <w:sz w:val="20"/>
          <w:szCs w:val="20"/>
        </w:rPr>
        <w:t>которые из</w:t>
      </w:r>
      <w:r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антитромбоцитарных</w:t>
      </w:r>
      <w:proofErr w:type="spellEnd"/>
      <w:r w:rsidRPr="008A2F9A">
        <w:rPr>
          <w:sz w:val="20"/>
          <w:szCs w:val="20"/>
        </w:rPr>
        <w:t xml:space="preserve"> препаратов, используемы</w:t>
      </w:r>
      <w:r w:rsidR="00B71127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во время и после ЧКВ, противопоказаны для </w:t>
      </w:r>
      <w:r w:rsidR="00FF047F" w:rsidRPr="008A2F9A">
        <w:rPr>
          <w:sz w:val="20"/>
          <w:szCs w:val="20"/>
        </w:rPr>
        <w:t>отдельных</w:t>
      </w:r>
      <w:r w:rsidRPr="008A2F9A">
        <w:rPr>
          <w:sz w:val="20"/>
          <w:szCs w:val="20"/>
        </w:rPr>
        <w:t xml:space="preserve"> групп пациентов, </w:t>
      </w:r>
      <w:r w:rsidR="00B71127" w:rsidRPr="008A2F9A">
        <w:rPr>
          <w:sz w:val="20"/>
          <w:szCs w:val="20"/>
        </w:rPr>
        <w:t xml:space="preserve">для большинства из </w:t>
      </w:r>
      <w:r w:rsidR="00144C3A" w:rsidRPr="008A2F9A">
        <w:rPr>
          <w:sz w:val="20"/>
          <w:szCs w:val="20"/>
        </w:rPr>
        <w:t>этих препаратов</w:t>
      </w:r>
      <w:r w:rsidR="00B71127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имеют</w:t>
      </w:r>
      <w:r w:rsidR="00B71127" w:rsidRPr="008A2F9A">
        <w:rPr>
          <w:sz w:val="20"/>
          <w:szCs w:val="20"/>
        </w:rPr>
        <w:t>ся</w:t>
      </w:r>
      <w:r w:rsidRPr="008A2F9A">
        <w:rPr>
          <w:sz w:val="20"/>
          <w:szCs w:val="20"/>
        </w:rPr>
        <w:t xml:space="preserve"> альтернатив</w:t>
      </w:r>
      <w:r w:rsidR="00B71127" w:rsidRPr="008A2F9A">
        <w:rPr>
          <w:sz w:val="20"/>
          <w:szCs w:val="20"/>
        </w:rPr>
        <w:t>н</w:t>
      </w:r>
      <w:r w:rsidRPr="008A2F9A">
        <w:rPr>
          <w:sz w:val="20"/>
          <w:szCs w:val="20"/>
        </w:rPr>
        <w:t>ы</w:t>
      </w:r>
      <w:r w:rsidR="00B71127" w:rsidRPr="008A2F9A">
        <w:rPr>
          <w:sz w:val="20"/>
          <w:szCs w:val="20"/>
        </w:rPr>
        <w:t>е лекарственные препараты</w:t>
      </w:r>
      <w:r w:rsidRPr="008A2F9A">
        <w:rPr>
          <w:sz w:val="20"/>
          <w:szCs w:val="20"/>
        </w:rPr>
        <w:t xml:space="preserve">, которые могут </w:t>
      </w:r>
      <w:r w:rsidR="00B71127" w:rsidRPr="008A2F9A">
        <w:rPr>
          <w:sz w:val="20"/>
          <w:szCs w:val="20"/>
        </w:rPr>
        <w:t xml:space="preserve">быть </w:t>
      </w:r>
      <w:r w:rsidRPr="008A2F9A">
        <w:rPr>
          <w:sz w:val="20"/>
          <w:szCs w:val="20"/>
        </w:rPr>
        <w:t>использова</w:t>
      </w:r>
      <w:r w:rsidR="00B71127" w:rsidRPr="008A2F9A">
        <w:rPr>
          <w:sz w:val="20"/>
          <w:szCs w:val="20"/>
        </w:rPr>
        <w:t>ны</w:t>
      </w:r>
      <w:r w:rsidRPr="008A2F9A">
        <w:rPr>
          <w:sz w:val="20"/>
          <w:szCs w:val="20"/>
        </w:rPr>
        <w:t xml:space="preserve"> во многих клинических ситуациях. В настоящее время общ</w:t>
      </w:r>
      <w:r w:rsidR="005A4BC6" w:rsidRPr="008A2F9A">
        <w:rPr>
          <w:sz w:val="20"/>
          <w:szCs w:val="20"/>
        </w:rPr>
        <w:t>ий объем применения</w:t>
      </w:r>
      <w:r w:rsidRPr="008A2F9A">
        <w:rPr>
          <w:sz w:val="20"/>
          <w:szCs w:val="20"/>
        </w:rPr>
        <w:t xml:space="preserve"> противопоказанных лекарств</w:t>
      </w:r>
      <w:r w:rsidR="005A4BC6" w:rsidRPr="008A2F9A">
        <w:rPr>
          <w:sz w:val="20"/>
          <w:szCs w:val="20"/>
        </w:rPr>
        <w:t>енных препаратов</w:t>
      </w:r>
      <w:r w:rsidRPr="008A2F9A">
        <w:rPr>
          <w:sz w:val="20"/>
          <w:szCs w:val="20"/>
        </w:rPr>
        <w:t xml:space="preserve"> в более широкой </w:t>
      </w:r>
      <w:r w:rsidR="005A4BC6" w:rsidRPr="008A2F9A">
        <w:rPr>
          <w:sz w:val="20"/>
          <w:szCs w:val="20"/>
        </w:rPr>
        <w:t>популяции</w:t>
      </w:r>
      <w:r w:rsidRPr="008A2F9A">
        <w:rPr>
          <w:sz w:val="20"/>
          <w:szCs w:val="20"/>
        </w:rPr>
        <w:t xml:space="preserve"> Ч</w:t>
      </w:r>
      <w:r w:rsidR="005A4BC6" w:rsidRPr="008A2F9A">
        <w:rPr>
          <w:sz w:val="20"/>
          <w:szCs w:val="20"/>
        </w:rPr>
        <w:t>КВ</w:t>
      </w:r>
      <w:r w:rsidRPr="008A2F9A">
        <w:rPr>
          <w:sz w:val="20"/>
          <w:szCs w:val="20"/>
        </w:rPr>
        <w:t xml:space="preserve"> не извест</w:t>
      </w:r>
      <w:r w:rsidR="005A4BC6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>н.</w:t>
      </w:r>
    </w:p>
    <w:p w:rsidR="00614B41" w:rsidRPr="008A2F9A" w:rsidRDefault="005A4BC6" w:rsidP="0080794A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 xml:space="preserve">Используя данные </w:t>
      </w:r>
      <w:r w:rsidR="00FF047F" w:rsidRPr="008A2F9A">
        <w:rPr>
          <w:sz w:val="20"/>
          <w:szCs w:val="20"/>
        </w:rPr>
        <w:t>н</w:t>
      </w:r>
      <w:r w:rsidRPr="008A2F9A">
        <w:rPr>
          <w:sz w:val="20"/>
          <w:szCs w:val="20"/>
        </w:rPr>
        <w:t>ациональной программы Администрации ветеранов (АВ) по клинической оценки, отчетности и отслеживанию (</w:t>
      </w:r>
      <w:r w:rsidR="00144C3A" w:rsidRPr="008A2F9A">
        <w:rPr>
          <w:sz w:val="20"/>
          <w:szCs w:val="20"/>
        </w:rPr>
        <w:t xml:space="preserve">программа </w:t>
      </w:r>
      <w:r w:rsidRPr="008A2F9A">
        <w:rPr>
          <w:sz w:val="20"/>
          <w:szCs w:val="20"/>
          <w:lang w:val="en-US"/>
        </w:rPr>
        <w:t>CART</w:t>
      </w:r>
      <w:r w:rsidRPr="008A2F9A">
        <w:rPr>
          <w:sz w:val="20"/>
          <w:szCs w:val="20"/>
        </w:rPr>
        <w:t>)</w:t>
      </w:r>
      <w:r w:rsidR="009B2E10" w:rsidRPr="008A2F9A">
        <w:rPr>
          <w:sz w:val="20"/>
          <w:szCs w:val="20"/>
        </w:rPr>
        <w:t>,</w:t>
      </w:r>
      <w:r w:rsidRPr="008A2F9A">
        <w:rPr>
          <w:sz w:val="20"/>
          <w:szCs w:val="20"/>
        </w:rPr>
        <w:t xml:space="preserve"> </w:t>
      </w:r>
      <w:r w:rsidR="009B2E10" w:rsidRPr="008A2F9A">
        <w:rPr>
          <w:sz w:val="20"/>
          <w:szCs w:val="20"/>
        </w:rPr>
        <w:t xml:space="preserve">в </w:t>
      </w:r>
      <w:r w:rsidRPr="008A2F9A">
        <w:rPr>
          <w:sz w:val="20"/>
          <w:szCs w:val="20"/>
        </w:rPr>
        <w:t>котор</w:t>
      </w:r>
      <w:r w:rsidR="009B2E10" w:rsidRPr="008A2F9A">
        <w:rPr>
          <w:sz w:val="20"/>
          <w:szCs w:val="20"/>
        </w:rPr>
        <w:t>ой</w:t>
      </w:r>
      <w:r w:rsidRPr="008A2F9A">
        <w:rPr>
          <w:sz w:val="20"/>
          <w:szCs w:val="20"/>
        </w:rPr>
        <w:t xml:space="preserve"> регистриру</w:t>
      </w:r>
      <w:r w:rsidR="009B2E10" w:rsidRPr="008A2F9A">
        <w:rPr>
          <w:sz w:val="20"/>
          <w:szCs w:val="20"/>
        </w:rPr>
        <w:t>ю</w:t>
      </w:r>
      <w:r w:rsidRPr="008A2F9A">
        <w:rPr>
          <w:sz w:val="20"/>
          <w:szCs w:val="20"/>
        </w:rPr>
        <w:t>т</w:t>
      </w:r>
      <w:r w:rsidR="009B2E10" w:rsidRPr="008A2F9A">
        <w:rPr>
          <w:sz w:val="20"/>
          <w:szCs w:val="20"/>
        </w:rPr>
        <w:t>ся</w:t>
      </w:r>
      <w:r w:rsidRPr="008A2F9A">
        <w:rPr>
          <w:sz w:val="20"/>
          <w:szCs w:val="20"/>
        </w:rPr>
        <w:t xml:space="preserve"> данные о </w:t>
      </w:r>
      <w:r w:rsidR="009B2E10" w:rsidRPr="008A2F9A">
        <w:rPr>
          <w:sz w:val="20"/>
          <w:szCs w:val="20"/>
        </w:rPr>
        <w:t xml:space="preserve">применении лекарственных препаратов </w:t>
      </w:r>
      <w:r w:rsidR="00144C3A" w:rsidRPr="008A2F9A">
        <w:rPr>
          <w:sz w:val="20"/>
          <w:szCs w:val="20"/>
        </w:rPr>
        <w:t>во</w:t>
      </w:r>
      <w:r w:rsidRPr="008A2F9A">
        <w:rPr>
          <w:sz w:val="20"/>
          <w:szCs w:val="20"/>
        </w:rPr>
        <w:t xml:space="preserve"> всех </w:t>
      </w:r>
      <w:r w:rsidR="009B2E10" w:rsidRPr="008A2F9A">
        <w:rPr>
          <w:sz w:val="20"/>
          <w:szCs w:val="20"/>
        </w:rPr>
        <w:t>случаях ЧКВ</w:t>
      </w:r>
      <w:r w:rsidRPr="008A2F9A">
        <w:rPr>
          <w:sz w:val="20"/>
          <w:szCs w:val="20"/>
        </w:rPr>
        <w:t xml:space="preserve">, </w:t>
      </w:r>
      <w:r w:rsidR="009B2E10" w:rsidRPr="008A2F9A">
        <w:rPr>
          <w:sz w:val="20"/>
          <w:szCs w:val="20"/>
        </w:rPr>
        <w:t>выполняемых</w:t>
      </w:r>
      <w:r w:rsidRPr="008A2F9A">
        <w:rPr>
          <w:sz w:val="20"/>
          <w:szCs w:val="20"/>
        </w:rPr>
        <w:t xml:space="preserve"> в системе здравоохранения </w:t>
      </w:r>
      <w:r w:rsidR="009B2E10" w:rsidRPr="008A2F9A">
        <w:rPr>
          <w:sz w:val="20"/>
          <w:szCs w:val="20"/>
        </w:rPr>
        <w:t>АВ</w:t>
      </w:r>
      <w:r w:rsidRPr="008A2F9A">
        <w:rPr>
          <w:sz w:val="20"/>
          <w:szCs w:val="20"/>
        </w:rPr>
        <w:t xml:space="preserve">, </w:t>
      </w:r>
      <w:r w:rsidR="009B2E10" w:rsidRPr="008A2F9A">
        <w:rPr>
          <w:sz w:val="20"/>
          <w:szCs w:val="20"/>
        </w:rPr>
        <w:t>авторы</w:t>
      </w:r>
      <w:r w:rsidRPr="008A2F9A">
        <w:rPr>
          <w:sz w:val="20"/>
          <w:szCs w:val="20"/>
        </w:rPr>
        <w:t xml:space="preserve"> ст</w:t>
      </w:r>
      <w:r w:rsidR="009B2E10" w:rsidRPr="008A2F9A">
        <w:rPr>
          <w:sz w:val="20"/>
          <w:szCs w:val="20"/>
        </w:rPr>
        <w:t>авили своей целью</w:t>
      </w:r>
      <w:r w:rsidRPr="008A2F9A">
        <w:rPr>
          <w:sz w:val="20"/>
          <w:szCs w:val="20"/>
        </w:rPr>
        <w:t xml:space="preserve"> описать использование противопоказанных лекарств</w:t>
      </w:r>
      <w:r w:rsidR="009B2E10" w:rsidRPr="008A2F9A">
        <w:rPr>
          <w:sz w:val="20"/>
          <w:szCs w:val="20"/>
        </w:rPr>
        <w:t>енных препаратов</w:t>
      </w:r>
      <w:r w:rsidRPr="008A2F9A">
        <w:rPr>
          <w:sz w:val="20"/>
          <w:szCs w:val="20"/>
        </w:rPr>
        <w:t xml:space="preserve"> </w:t>
      </w:r>
      <w:r w:rsidR="009B2E10" w:rsidRPr="008A2F9A">
        <w:rPr>
          <w:sz w:val="20"/>
          <w:szCs w:val="20"/>
        </w:rPr>
        <w:t xml:space="preserve">при проведении ЧКВ. </w:t>
      </w:r>
      <w:r w:rsidR="00144C3A" w:rsidRPr="008A2F9A">
        <w:rPr>
          <w:sz w:val="20"/>
          <w:szCs w:val="20"/>
        </w:rPr>
        <w:t>В оценку, пр</w:t>
      </w:r>
      <w:r w:rsidR="00FF047F" w:rsidRPr="008A2F9A">
        <w:rPr>
          <w:sz w:val="20"/>
          <w:szCs w:val="20"/>
        </w:rPr>
        <w:t xml:space="preserve">оведенную авторами, входили, </w:t>
      </w:r>
      <w:r w:rsidRPr="008A2F9A">
        <w:rPr>
          <w:sz w:val="20"/>
          <w:szCs w:val="20"/>
        </w:rPr>
        <w:t>как лекарств</w:t>
      </w:r>
      <w:r w:rsidR="009B2E10" w:rsidRPr="008A2F9A">
        <w:rPr>
          <w:sz w:val="20"/>
          <w:szCs w:val="20"/>
        </w:rPr>
        <w:t>енные препараты</w:t>
      </w:r>
      <w:r w:rsidRPr="008A2F9A">
        <w:rPr>
          <w:sz w:val="20"/>
          <w:szCs w:val="20"/>
        </w:rPr>
        <w:t xml:space="preserve">, </w:t>
      </w:r>
      <w:r w:rsidR="009B2E10" w:rsidRPr="008A2F9A">
        <w:rPr>
          <w:sz w:val="20"/>
          <w:szCs w:val="20"/>
        </w:rPr>
        <w:t>которые получали пациенты</w:t>
      </w:r>
      <w:r w:rsidRPr="008A2F9A">
        <w:rPr>
          <w:sz w:val="20"/>
          <w:szCs w:val="20"/>
        </w:rPr>
        <w:t xml:space="preserve"> во время процедуры </w:t>
      </w:r>
      <w:r w:rsidR="009B2E10" w:rsidRPr="008A2F9A">
        <w:rPr>
          <w:sz w:val="20"/>
          <w:szCs w:val="20"/>
        </w:rPr>
        <w:t>ЧКВ</w:t>
      </w:r>
      <w:r w:rsidRPr="008A2F9A">
        <w:rPr>
          <w:sz w:val="20"/>
          <w:szCs w:val="20"/>
        </w:rPr>
        <w:t>, так и лекарств</w:t>
      </w:r>
      <w:r w:rsidR="009B2E10" w:rsidRPr="008A2F9A">
        <w:rPr>
          <w:sz w:val="20"/>
          <w:szCs w:val="20"/>
        </w:rPr>
        <w:t>енные препараты</w:t>
      </w:r>
      <w:r w:rsidRPr="008A2F9A">
        <w:rPr>
          <w:sz w:val="20"/>
          <w:szCs w:val="20"/>
        </w:rPr>
        <w:t xml:space="preserve">, </w:t>
      </w:r>
      <w:r w:rsidR="009B2E10" w:rsidRPr="008A2F9A">
        <w:rPr>
          <w:sz w:val="20"/>
          <w:szCs w:val="20"/>
        </w:rPr>
        <w:t xml:space="preserve">которые пациенты </w:t>
      </w:r>
      <w:r w:rsidR="00FF047F" w:rsidRPr="008A2F9A">
        <w:rPr>
          <w:sz w:val="20"/>
          <w:szCs w:val="20"/>
        </w:rPr>
        <w:t xml:space="preserve">получали </w:t>
      </w:r>
      <w:r w:rsidRPr="008A2F9A">
        <w:rPr>
          <w:sz w:val="20"/>
          <w:szCs w:val="20"/>
        </w:rPr>
        <w:t>после выписки из больницы.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 xml:space="preserve">Затем </w:t>
      </w:r>
      <w:r w:rsidR="009B2E10" w:rsidRPr="008A2F9A">
        <w:rPr>
          <w:sz w:val="20"/>
          <w:szCs w:val="20"/>
        </w:rPr>
        <w:t>авторы</w:t>
      </w:r>
      <w:r w:rsidRPr="008A2F9A">
        <w:rPr>
          <w:sz w:val="20"/>
          <w:szCs w:val="20"/>
        </w:rPr>
        <w:t xml:space="preserve"> определ</w:t>
      </w:r>
      <w:r w:rsidR="009B2E10" w:rsidRPr="008A2F9A">
        <w:rPr>
          <w:sz w:val="20"/>
          <w:szCs w:val="20"/>
        </w:rPr>
        <w:t>я</w:t>
      </w:r>
      <w:r w:rsidRPr="008A2F9A">
        <w:rPr>
          <w:sz w:val="20"/>
          <w:szCs w:val="20"/>
        </w:rPr>
        <w:t xml:space="preserve">ли </w:t>
      </w:r>
      <w:r w:rsidR="009B2E10" w:rsidRPr="008A2F9A">
        <w:rPr>
          <w:sz w:val="20"/>
          <w:szCs w:val="20"/>
        </w:rPr>
        <w:t xml:space="preserve">скорректированную с поправкой на </w:t>
      </w:r>
      <w:r w:rsidRPr="008A2F9A">
        <w:rPr>
          <w:sz w:val="20"/>
          <w:szCs w:val="20"/>
        </w:rPr>
        <w:t>риск взаимосвязь между противопоказан</w:t>
      </w:r>
      <w:r w:rsidR="0080794A" w:rsidRPr="008A2F9A">
        <w:rPr>
          <w:sz w:val="20"/>
          <w:szCs w:val="20"/>
        </w:rPr>
        <w:t>ным</w:t>
      </w:r>
      <w:r w:rsidRPr="008A2F9A">
        <w:rPr>
          <w:sz w:val="20"/>
          <w:szCs w:val="20"/>
        </w:rPr>
        <w:t xml:space="preserve"> использовани</w:t>
      </w:r>
      <w:r w:rsidR="0080794A" w:rsidRPr="008A2F9A">
        <w:rPr>
          <w:sz w:val="20"/>
          <w:szCs w:val="20"/>
        </w:rPr>
        <w:t>ем</w:t>
      </w:r>
      <w:r w:rsidRPr="008A2F9A">
        <w:rPr>
          <w:sz w:val="20"/>
          <w:szCs w:val="20"/>
        </w:rPr>
        <w:t xml:space="preserve"> процедурных препаратов и </w:t>
      </w:r>
      <w:r w:rsidR="00FF047F" w:rsidRPr="008A2F9A">
        <w:rPr>
          <w:sz w:val="20"/>
          <w:szCs w:val="20"/>
        </w:rPr>
        <w:t>исходами</w:t>
      </w:r>
      <w:r w:rsidR="00144C3A" w:rsidRPr="008A2F9A">
        <w:rPr>
          <w:sz w:val="20"/>
          <w:szCs w:val="20"/>
        </w:rPr>
        <w:t>,</w:t>
      </w:r>
      <w:r w:rsidR="00FF047F" w:rsidRPr="008A2F9A">
        <w:rPr>
          <w:sz w:val="20"/>
          <w:szCs w:val="20"/>
        </w:rPr>
        <w:t xml:space="preserve"> </w:t>
      </w:r>
      <w:r w:rsidR="00144C3A" w:rsidRPr="008A2F9A">
        <w:rPr>
          <w:sz w:val="20"/>
          <w:szCs w:val="20"/>
        </w:rPr>
        <w:t>такими как</w:t>
      </w:r>
      <w:r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перипроцедурно</w:t>
      </w:r>
      <w:r w:rsidR="00144C3A" w:rsidRPr="008A2F9A">
        <w:rPr>
          <w:sz w:val="20"/>
          <w:szCs w:val="20"/>
        </w:rPr>
        <w:t>е</w:t>
      </w:r>
      <w:proofErr w:type="spellEnd"/>
      <w:r w:rsidRPr="008A2F9A">
        <w:rPr>
          <w:sz w:val="20"/>
          <w:szCs w:val="20"/>
        </w:rPr>
        <w:t xml:space="preserve"> кровотечени</w:t>
      </w:r>
      <w:r w:rsidR="00144C3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и смертност</w:t>
      </w:r>
      <w:r w:rsidR="00144C3A" w:rsidRPr="008A2F9A">
        <w:rPr>
          <w:sz w:val="20"/>
          <w:szCs w:val="20"/>
        </w:rPr>
        <w:t>ь</w:t>
      </w:r>
      <w:r w:rsidRPr="008A2F9A">
        <w:rPr>
          <w:sz w:val="20"/>
          <w:szCs w:val="20"/>
        </w:rPr>
        <w:t xml:space="preserve"> от всех причин. Эти результаты могут </w:t>
      </w:r>
      <w:r w:rsidR="0080794A" w:rsidRPr="008A2F9A">
        <w:rPr>
          <w:sz w:val="20"/>
          <w:szCs w:val="20"/>
        </w:rPr>
        <w:t>быть полезными в</w:t>
      </w:r>
      <w:r w:rsidRPr="008A2F9A">
        <w:rPr>
          <w:sz w:val="20"/>
          <w:szCs w:val="20"/>
        </w:rPr>
        <w:t xml:space="preserve"> будущ</w:t>
      </w:r>
      <w:r w:rsidR="0080794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м </w:t>
      </w:r>
      <w:r w:rsidR="0080794A" w:rsidRPr="008A2F9A">
        <w:rPr>
          <w:sz w:val="20"/>
          <w:szCs w:val="20"/>
        </w:rPr>
        <w:t>для</w:t>
      </w:r>
      <w:r w:rsidRPr="008A2F9A">
        <w:rPr>
          <w:sz w:val="20"/>
          <w:szCs w:val="20"/>
        </w:rPr>
        <w:t xml:space="preserve"> дальнейшего снижения </w:t>
      </w:r>
      <w:r w:rsidR="0080794A" w:rsidRPr="008A2F9A">
        <w:rPr>
          <w:sz w:val="20"/>
          <w:szCs w:val="20"/>
        </w:rPr>
        <w:t>отрицательное воздействие на</w:t>
      </w:r>
      <w:r w:rsidRPr="008A2F9A">
        <w:rPr>
          <w:sz w:val="20"/>
          <w:szCs w:val="20"/>
        </w:rPr>
        <w:t xml:space="preserve"> пациентов, связанн</w:t>
      </w:r>
      <w:r w:rsidR="0080794A" w:rsidRPr="008A2F9A">
        <w:rPr>
          <w:sz w:val="20"/>
          <w:szCs w:val="20"/>
        </w:rPr>
        <w:t>ого</w:t>
      </w:r>
      <w:r w:rsidRPr="008A2F9A">
        <w:rPr>
          <w:sz w:val="20"/>
          <w:szCs w:val="20"/>
        </w:rPr>
        <w:t xml:space="preserve"> с использованием противопоказанных лекарств</w:t>
      </w:r>
      <w:r w:rsidR="0080794A" w:rsidRPr="008A2F9A">
        <w:rPr>
          <w:sz w:val="20"/>
          <w:szCs w:val="20"/>
        </w:rPr>
        <w:t>енных препаратов</w:t>
      </w:r>
      <w:r w:rsidRPr="008A2F9A">
        <w:rPr>
          <w:sz w:val="20"/>
          <w:szCs w:val="20"/>
        </w:rPr>
        <w:t>.</w:t>
      </w:r>
    </w:p>
    <w:p w:rsidR="0080794A" w:rsidRPr="008A2F9A" w:rsidRDefault="0080794A" w:rsidP="0080794A">
      <w:pPr>
        <w:spacing w:after="12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>Методы</w:t>
      </w:r>
    </w:p>
    <w:p w:rsidR="0080794A" w:rsidRPr="008A2F9A" w:rsidRDefault="0080794A" w:rsidP="0080794A">
      <w:pPr>
        <w:spacing w:after="12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 xml:space="preserve">Изучаемая популяция, </w:t>
      </w:r>
      <w:r w:rsidR="00144C3A" w:rsidRPr="008A2F9A">
        <w:rPr>
          <w:b/>
          <w:sz w:val="20"/>
          <w:szCs w:val="20"/>
        </w:rPr>
        <w:t>условия</w:t>
      </w:r>
      <w:r w:rsidRPr="008A2F9A">
        <w:rPr>
          <w:b/>
          <w:sz w:val="20"/>
          <w:szCs w:val="20"/>
        </w:rPr>
        <w:t xml:space="preserve"> и источник данных</w:t>
      </w:r>
    </w:p>
    <w:p w:rsidR="00614B41" w:rsidRPr="008A2F9A" w:rsidRDefault="00B24CF6" w:rsidP="00B24CF6">
      <w:pPr>
        <w:spacing w:after="12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 xml:space="preserve">Используя </w:t>
      </w:r>
      <w:r w:rsidR="00FF047F" w:rsidRPr="008A2F9A">
        <w:rPr>
          <w:sz w:val="20"/>
          <w:szCs w:val="20"/>
        </w:rPr>
        <w:t>информацию в</w:t>
      </w:r>
      <w:r w:rsidRPr="008A2F9A">
        <w:rPr>
          <w:sz w:val="20"/>
          <w:szCs w:val="20"/>
        </w:rPr>
        <w:t xml:space="preserve"> программ</w:t>
      </w:r>
      <w:r w:rsidR="00FF047F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</w:t>
      </w:r>
      <w:r w:rsidR="00FF047F" w:rsidRPr="008A2F9A">
        <w:rPr>
          <w:sz w:val="20"/>
          <w:szCs w:val="20"/>
        </w:rPr>
        <w:t>АВ «</w:t>
      </w:r>
      <w:r w:rsidRPr="008A2F9A">
        <w:rPr>
          <w:sz w:val="20"/>
          <w:szCs w:val="20"/>
        </w:rPr>
        <w:t>VA CART</w:t>
      </w:r>
      <w:r w:rsidR="00FF047F" w:rsidRPr="008A2F9A">
        <w:rPr>
          <w:sz w:val="20"/>
          <w:szCs w:val="20"/>
        </w:rPr>
        <w:t>»</w:t>
      </w:r>
      <w:r w:rsidRPr="008A2F9A">
        <w:rPr>
          <w:sz w:val="20"/>
          <w:szCs w:val="20"/>
        </w:rPr>
        <w:t>, авторы изучили данные по всем ветеранам, перенесши</w:t>
      </w:r>
      <w:r w:rsidR="00FF047F" w:rsidRPr="008A2F9A">
        <w:rPr>
          <w:sz w:val="20"/>
          <w:szCs w:val="20"/>
        </w:rPr>
        <w:t>м</w:t>
      </w:r>
      <w:r w:rsidRPr="008A2F9A">
        <w:rPr>
          <w:sz w:val="20"/>
          <w:szCs w:val="20"/>
        </w:rPr>
        <w:t xml:space="preserve"> ЧКВ с 1 октября 2007 года по 30 сентября 2013 года (</w:t>
      </w:r>
      <w:r w:rsidRPr="008A2F9A">
        <w:rPr>
          <w:sz w:val="20"/>
          <w:szCs w:val="20"/>
          <w:lang w:val="en-US"/>
        </w:rPr>
        <w:t>n</w:t>
      </w:r>
      <w:r w:rsid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 xml:space="preserve">= 64294). Программа </w:t>
      </w:r>
      <w:r w:rsidR="00FF047F" w:rsidRPr="008A2F9A">
        <w:rPr>
          <w:sz w:val="20"/>
          <w:szCs w:val="20"/>
        </w:rPr>
        <w:t>«</w:t>
      </w:r>
      <w:r w:rsidRPr="008A2F9A">
        <w:rPr>
          <w:sz w:val="20"/>
          <w:szCs w:val="20"/>
        </w:rPr>
        <w:t>VA CART</w:t>
      </w:r>
      <w:r w:rsidR="00FF047F" w:rsidRPr="008A2F9A">
        <w:rPr>
          <w:sz w:val="20"/>
          <w:szCs w:val="20"/>
        </w:rPr>
        <w:t>»</w:t>
      </w:r>
      <w:r w:rsidRPr="008A2F9A">
        <w:rPr>
          <w:sz w:val="20"/>
          <w:szCs w:val="20"/>
        </w:rPr>
        <w:t xml:space="preserve"> </w:t>
      </w:r>
      <w:r w:rsidR="00FF047F" w:rsidRPr="008A2F9A">
        <w:rPr>
          <w:sz w:val="20"/>
          <w:szCs w:val="20"/>
        </w:rPr>
        <w:t>является</w:t>
      </w:r>
      <w:r w:rsidRPr="008A2F9A">
        <w:rPr>
          <w:sz w:val="20"/>
          <w:szCs w:val="20"/>
        </w:rPr>
        <w:t xml:space="preserve"> национальн</w:t>
      </w:r>
      <w:r w:rsidR="00FF047F" w:rsidRPr="008A2F9A">
        <w:rPr>
          <w:sz w:val="20"/>
          <w:szCs w:val="20"/>
        </w:rPr>
        <w:t>ой</w:t>
      </w:r>
      <w:r w:rsidRPr="008A2F9A">
        <w:rPr>
          <w:sz w:val="20"/>
          <w:szCs w:val="20"/>
        </w:rPr>
        <w:t xml:space="preserve"> программ</w:t>
      </w:r>
      <w:r w:rsidR="00FF047F" w:rsidRPr="008A2F9A">
        <w:rPr>
          <w:sz w:val="20"/>
          <w:szCs w:val="20"/>
        </w:rPr>
        <w:t xml:space="preserve">ой по </w:t>
      </w:r>
      <w:r w:rsidRPr="008A2F9A">
        <w:rPr>
          <w:sz w:val="20"/>
          <w:szCs w:val="20"/>
        </w:rPr>
        <w:t>качеств</w:t>
      </w:r>
      <w:r w:rsidR="00FF047F" w:rsidRPr="008A2F9A">
        <w:rPr>
          <w:sz w:val="20"/>
          <w:szCs w:val="20"/>
        </w:rPr>
        <w:t>у</w:t>
      </w:r>
      <w:r w:rsidRPr="008A2F9A">
        <w:rPr>
          <w:sz w:val="20"/>
          <w:szCs w:val="20"/>
        </w:rPr>
        <w:t xml:space="preserve"> клинического обслуживания в медицинских учреждениях АВ, где проводится катетеризация сердца. </w:t>
      </w:r>
      <w:r w:rsidR="008C1A02" w:rsidRPr="008A2F9A">
        <w:rPr>
          <w:sz w:val="20"/>
          <w:szCs w:val="20"/>
        </w:rPr>
        <w:t>В п</w:t>
      </w:r>
      <w:r w:rsidRPr="008A2F9A">
        <w:rPr>
          <w:sz w:val="20"/>
          <w:szCs w:val="20"/>
        </w:rPr>
        <w:t>рограмм</w:t>
      </w:r>
      <w:r w:rsidR="008C1A02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CART использует</w:t>
      </w:r>
      <w:r w:rsidR="008C1A02" w:rsidRPr="008A2F9A">
        <w:rPr>
          <w:sz w:val="20"/>
          <w:szCs w:val="20"/>
        </w:rPr>
        <w:t>ся</w:t>
      </w:r>
      <w:r w:rsidRPr="008A2F9A">
        <w:rPr>
          <w:sz w:val="20"/>
          <w:szCs w:val="20"/>
        </w:rPr>
        <w:t xml:space="preserve"> программное приложение, встроенное в электронную медицинскую карту</w:t>
      </w:r>
      <w:r w:rsidR="00614B41" w:rsidRPr="008A2F9A">
        <w:rPr>
          <w:sz w:val="20"/>
          <w:szCs w:val="20"/>
        </w:rPr>
        <w:t xml:space="preserve"> </w:t>
      </w:r>
      <w:r w:rsidR="00996D27" w:rsidRPr="008A2F9A">
        <w:rPr>
          <w:sz w:val="20"/>
          <w:szCs w:val="20"/>
        </w:rPr>
        <w:t xml:space="preserve">(ЭМК) </w:t>
      </w:r>
      <w:r w:rsidRPr="008A2F9A">
        <w:rPr>
          <w:sz w:val="20"/>
          <w:szCs w:val="20"/>
        </w:rPr>
        <w:t xml:space="preserve">АВ для медицинской документации по лабораторным процедурам катетеризации сердца. </w:t>
      </w:r>
      <w:r w:rsidR="00996D27" w:rsidRPr="008A2F9A">
        <w:rPr>
          <w:sz w:val="20"/>
          <w:szCs w:val="20"/>
        </w:rPr>
        <w:t>В процессе ведения клинической документации по лабораторным процедурам катетеризации сердца это приложение программного обеспечения собирает данные по основным пациентам и процедурные данные по всем коронарным процедурам, проводимым в национальном масштабе.</w:t>
      </w:r>
      <w:r w:rsidR="00614B41" w:rsidRPr="008A2F9A">
        <w:rPr>
          <w:sz w:val="20"/>
          <w:szCs w:val="20"/>
        </w:rPr>
        <w:t xml:space="preserve"> </w:t>
      </w:r>
      <w:r w:rsidR="00996D27" w:rsidRPr="008A2F9A">
        <w:rPr>
          <w:sz w:val="20"/>
          <w:szCs w:val="20"/>
        </w:rPr>
        <w:t>Затем э</w:t>
      </w:r>
      <w:r w:rsidRPr="008A2F9A">
        <w:rPr>
          <w:sz w:val="20"/>
          <w:szCs w:val="20"/>
        </w:rPr>
        <w:t xml:space="preserve">ти данные </w:t>
      </w:r>
      <w:r w:rsidR="00713258" w:rsidRPr="008A2F9A">
        <w:rPr>
          <w:sz w:val="20"/>
          <w:szCs w:val="20"/>
        </w:rPr>
        <w:t>объ</w:t>
      </w:r>
      <w:r w:rsidR="00E25C1F" w:rsidRPr="008A2F9A">
        <w:rPr>
          <w:sz w:val="20"/>
          <w:szCs w:val="20"/>
        </w:rPr>
        <w:t>един</w:t>
      </w:r>
      <w:r w:rsidR="008C1A02" w:rsidRPr="008A2F9A">
        <w:rPr>
          <w:sz w:val="20"/>
          <w:szCs w:val="20"/>
        </w:rPr>
        <w:t xml:space="preserve">яются </w:t>
      </w:r>
      <w:r w:rsidR="00E25C1F" w:rsidRPr="008A2F9A">
        <w:rPr>
          <w:sz w:val="20"/>
          <w:szCs w:val="20"/>
        </w:rPr>
        <w:t>с</w:t>
      </w:r>
      <w:r w:rsidRPr="008A2F9A">
        <w:rPr>
          <w:sz w:val="20"/>
          <w:szCs w:val="20"/>
        </w:rPr>
        <w:t xml:space="preserve"> </w:t>
      </w:r>
      <w:r w:rsidR="008C1A02" w:rsidRPr="008A2F9A">
        <w:rPr>
          <w:sz w:val="20"/>
          <w:szCs w:val="20"/>
        </w:rPr>
        <w:t>информацией в</w:t>
      </w:r>
      <w:r w:rsidR="00996D27" w:rsidRPr="008A2F9A">
        <w:rPr>
          <w:sz w:val="20"/>
          <w:szCs w:val="20"/>
        </w:rPr>
        <w:t xml:space="preserve"> ЭМК АВ</w:t>
      </w:r>
      <w:r w:rsidRPr="008A2F9A">
        <w:rPr>
          <w:sz w:val="20"/>
          <w:szCs w:val="20"/>
        </w:rPr>
        <w:t xml:space="preserve">, что позволяет </w:t>
      </w:r>
      <w:r w:rsidR="00996D27" w:rsidRPr="008A2F9A">
        <w:rPr>
          <w:sz w:val="20"/>
          <w:szCs w:val="20"/>
        </w:rPr>
        <w:t xml:space="preserve">установить </w:t>
      </w:r>
      <w:r w:rsidRPr="008A2F9A">
        <w:rPr>
          <w:sz w:val="20"/>
          <w:szCs w:val="20"/>
        </w:rPr>
        <w:t>связ</w:t>
      </w:r>
      <w:r w:rsidR="00996D27" w:rsidRPr="008A2F9A">
        <w:rPr>
          <w:sz w:val="20"/>
          <w:szCs w:val="20"/>
        </w:rPr>
        <w:t>ь</w:t>
      </w:r>
      <w:r w:rsidRPr="008A2F9A">
        <w:rPr>
          <w:sz w:val="20"/>
          <w:szCs w:val="20"/>
        </w:rPr>
        <w:t xml:space="preserve"> с </w:t>
      </w:r>
      <w:r w:rsidR="00AF0B85" w:rsidRPr="008A2F9A">
        <w:rPr>
          <w:sz w:val="20"/>
          <w:szCs w:val="20"/>
        </w:rPr>
        <w:t>данными по долгосрочной смертности</w:t>
      </w:r>
      <w:r w:rsidRPr="008A2F9A">
        <w:rPr>
          <w:sz w:val="20"/>
          <w:szCs w:val="20"/>
        </w:rPr>
        <w:t>,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госпитализаци</w:t>
      </w:r>
      <w:r w:rsidR="00AF0B85" w:rsidRPr="008A2F9A">
        <w:rPr>
          <w:sz w:val="20"/>
          <w:szCs w:val="20"/>
        </w:rPr>
        <w:t>и</w:t>
      </w:r>
      <w:r w:rsidRPr="008A2F9A">
        <w:rPr>
          <w:sz w:val="20"/>
          <w:szCs w:val="20"/>
        </w:rPr>
        <w:t xml:space="preserve">, </w:t>
      </w:r>
      <w:r w:rsidR="00AF0B85" w:rsidRPr="008A2F9A">
        <w:rPr>
          <w:sz w:val="20"/>
          <w:szCs w:val="20"/>
        </w:rPr>
        <w:t>амбулаторным посещениям</w:t>
      </w:r>
      <w:r w:rsidRPr="008A2F9A">
        <w:rPr>
          <w:sz w:val="20"/>
          <w:szCs w:val="20"/>
        </w:rPr>
        <w:t xml:space="preserve">, </w:t>
      </w:r>
      <w:r w:rsidR="00713258" w:rsidRPr="008A2F9A">
        <w:rPr>
          <w:sz w:val="20"/>
          <w:szCs w:val="20"/>
        </w:rPr>
        <w:t>данными аптечных учреждений</w:t>
      </w:r>
      <w:r w:rsidR="00AF0B85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 xml:space="preserve">и лабораторными данными. </w:t>
      </w:r>
      <w:r w:rsidR="008C1A02" w:rsidRPr="008A2F9A">
        <w:rPr>
          <w:sz w:val="20"/>
          <w:szCs w:val="20"/>
        </w:rPr>
        <w:t>В дополнении к этому,</w:t>
      </w:r>
      <w:r w:rsidRPr="008A2F9A">
        <w:rPr>
          <w:sz w:val="20"/>
          <w:szCs w:val="20"/>
        </w:rPr>
        <w:t xml:space="preserve"> данные </w:t>
      </w:r>
      <w:r w:rsidR="008C1A02" w:rsidRPr="008A2F9A">
        <w:rPr>
          <w:sz w:val="20"/>
          <w:szCs w:val="20"/>
        </w:rPr>
        <w:t xml:space="preserve">программы </w:t>
      </w:r>
      <w:r w:rsidRPr="008A2F9A">
        <w:rPr>
          <w:sz w:val="20"/>
          <w:szCs w:val="20"/>
        </w:rPr>
        <w:t xml:space="preserve">CART </w:t>
      </w:r>
      <w:r w:rsidR="008C1A02" w:rsidRPr="008A2F9A">
        <w:rPr>
          <w:sz w:val="20"/>
          <w:szCs w:val="20"/>
        </w:rPr>
        <w:t xml:space="preserve">объединяются с </w:t>
      </w:r>
      <w:r w:rsidRPr="008A2F9A">
        <w:rPr>
          <w:sz w:val="20"/>
          <w:szCs w:val="20"/>
        </w:rPr>
        <w:lastRenderedPageBreak/>
        <w:t>данными</w:t>
      </w:r>
      <w:r w:rsidR="00AF0B85" w:rsidRPr="008A2F9A">
        <w:rPr>
          <w:sz w:val="20"/>
          <w:szCs w:val="20"/>
        </w:rPr>
        <w:t xml:space="preserve"> </w:t>
      </w:r>
      <w:r w:rsidR="00157A33" w:rsidRPr="008A2F9A">
        <w:rPr>
          <w:sz w:val="20"/>
          <w:szCs w:val="20"/>
        </w:rPr>
        <w:t xml:space="preserve">по </w:t>
      </w:r>
      <w:r w:rsidRPr="008A2F9A">
        <w:rPr>
          <w:sz w:val="20"/>
          <w:szCs w:val="20"/>
        </w:rPr>
        <w:t>госпитализаци</w:t>
      </w:r>
      <w:r w:rsidR="00AF0B85" w:rsidRPr="008A2F9A">
        <w:rPr>
          <w:sz w:val="20"/>
          <w:szCs w:val="20"/>
        </w:rPr>
        <w:t>и</w:t>
      </w:r>
      <w:r w:rsidRPr="008A2F9A">
        <w:rPr>
          <w:sz w:val="20"/>
          <w:szCs w:val="20"/>
        </w:rPr>
        <w:t xml:space="preserve"> в </w:t>
      </w:r>
      <w:r w:rsidR="00713258" w:rsidRPr="008A2F9A">
        <w:rPr>
          <w:sz w:val="20"/>
          <w:szCs w:val="20"/>
        </w:rPr>
        <w:t xml:space="preserve">медицинские </w:t>
      </w:r>
      <w:r w:rsidRPr="008A2F9A">
        <w:rPr>
          <w:sz w:val="20"/>
          <w:szCs w:val="20"/>
        </w:rPr>
        <w:t>центр</w:t>
      </w:r>
      <w:r w:rsidR="00D73596" w:rsidRPr="008A2F9A">
        <w:rPr>
          <w:sz w:val="20"/>
          <w:szCs w:val="20"/>
        </w:rPr>
        <w:t>ы</w:t>
      </w:r>
      <w:r w:rsidR="00713258" w:rsidRPr="008A2F9A">
        <w:rPr>
          <w:sz w:val="20"/>
          <w:szCs w:val="20"/>
        </w:rPr>
        <w:t xml:space="preserve"> платных услуг</w:t>
      </w:r>
      <w:r w:rsidRPr="008A2F9A">
        <w:rPr>
          <w:sz w:val="20"/>
          <w:szCs w:val="20"/>
        </w:rPr>
        <w:t xml:space="preserve">, </w:t>
      </w:r>
      <w:r w:rsidR="00D73596" w:rsidRPr="008A2F9A">
        <w:rPr>
          <w:sz w:val="20"/>
          <w:szCs w:val="20"/>
        </w:rPr>
        <w:t>не относящиеся к системе АВ</w:t>
      </w:r>
      <w:r w:rsidRPr="008A2F9A">
        <w:rPr>
          <w:sz w:val="20"/>
          <w:szCs w:val="20"/>
        </w:rPr>
        <w:t xml:space="preserve">, </w:t>
      </w:r>
      <w:r w:rsidR="008C1A02" w:rsidRPr="008A2F9A">
        <w:rPr>
          <w:sz w:val="20"/>
          <w:szCs w:val="20"/>
        </w:rPr>
        <w:t>где</w:t>
      </w:r>
      <w:r w:rsidR="00713258" w:rsidRPr="008A2F9A">
        <w:rPr>
          <w:sz w:val="20"/>
          <w:szCs w:val="20"/>
        </w:rPr>
        <w:t xml:space="preserve"> медицинские услуги</w:t>
      </w:r>
      <w:r w:rsidR="008C1A02" w:rsidRPr="008A2F9A">
        <w:rPr>
          <w:sz w:val="20"/>
          <w:szCs w:val="20"/>
        </w:rPr>
        <w:t xml:space="preserve"> </w:t>
      </w:r>
      <w:r w:rsidR="00713258" w:rsidRPr="008A2F9A">
        <w:rPr>
          <w:sz w:val="20"/>
          <w:szCs w:val="20"/>
        </w:rPr>
        <w:t>ветеранам</w:t>
      </w:r>
      <w:r w:rsidRPr="008A2F9A">
        <w:rPr>
          <w:sz w:val="20"/>
          <w:szCs w:val="20"/>
        </w:rPr>
        <w:t xml:space="preserve"> оплачива</w:t>
      </w:r>
      <w:r w:rsidR="00713258" w:rsidRPr="008A2F9A">
        <w:rPr>
          <w:sz w:val="20"/>
          <w:szCs w:val="20"/>
        </w:rPr>
        <w:t>ются АВ.</w:t>
      </w:r>
    </w:p>
    <w:p w:rsidR="00614B41" w:rsidRPr="008A2F9A" w:rsidRDefault="00D73596" w:rsidP="00290AF6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>Отдельные э</w:t>
      </w:r>
      <w:r w:rsidR="00B24CF6" w:rsidRPr="008A2F9A">
        <w:rPr>
          <w:sz w:val="20"/>
          <w:szCs w:val="20"/>
        </w:rPr>
        <w:t xml:space="preserve">лементы в приложении </w:t>
      </w:r>
      <w:r w:rsidR="00157A33" w:rsidRPr="008A2F9A">
        <w:rPr>
          <w:sz w:val="20"/>
          <w:szCs w:val="20"/>
        </w:rPr>
        <w:t xml:space="preserve">программы </w:t>
      </w:r>
      <w:r w:rsidR="00B24CF6" w:rsidRPr="008A2F9A">
        <w:rPr>
          <w:sz w:val="20"/>
          <w:szCs w:val="20"/>
        </w:rPr>
        <w:t xml:space="preserve">CART стандартизированы и основаны на </w:t>
      </w:r>
      <w:r w:rsidRPr="008A2F9A">
        <w:rPr>
          <w:sz w:val="20"/>
          <w:szCs w:val="20"/>
        </w:rPr>
        <w:t xml:space="preserve">Национальном регистре </w:t>
      </w:r>
      <w:proofErr w:type="spellStart"/>
      <w:r w:rsidRPr="008A2F9A">
        <w:rPr>
          <w:sz w:val="20"/>
          <w:szCs w:val="20"/>
        </w:rPr>
        <w:t>сердечнососудистых</w:t>
      </w:r>
      <w:proofErr w:type="spellEnd"/>
      <w:r w:rsidRPr="008A2F9A">
        <w:rPr>
          <w:sz w:val="20"/>
          <w:szCs w:val="20"/>
        </w:rPr>
        <w:t xml:space="preserve"> заболеваний (НРССЗ/NCDR)</w:t>
      </w:r>
      <w:r w:rsidR="00B24CF6" w:rsidRPr="008A2F9A">
        <w:rPr>
          <w:sz w:val="20"/>
          <w:szCs w:val="20"/>
          <w:vertAlign w:val="superscript"/>
        </w:rPr>
        <w:t>6</w:t>
      </w:r>
      <w:r w:rsidRPr="008A2F9A">
        <w:rPr>
          <w:sz w:val="20"/>
          <w:szCs w:val="20"/>
        </w:rPr>
        <w:t>.</w:t>
      </w:r>
      <w:r w:rsidR="00B24CF6" w:rsidRPr="008A2F9A">
        <w:rPr>
          <w:sz w:val="20"/>
          <w:szCs w:val="20"/>
        </w:rPr>
        <w:t xml:space="preserve"> Специальный персонал </w:t>
      </w:r>
      <w:r w:rsidRPr="008A2F9A">
        <w:rPr>
          <w:sz w:val="20"/>
          <w:szCs w:val="20"/>
        </w:rPr>
        <w:t>осуществляет</w:t>
      </w:r>
      <w:r w:rsidR="00B24CF6" w:rsidRPr="008A2F9A">
        <w:rPr>
          <w:sz w:val="20"/>
          <w:szCs w:val="20"/>
        </w:rPr>
        <w:t xml:space="preserve"> постоянный мониторинг, обслуживание и обновление приложения. </w:t>
      </w:r>
      <w:r w:rsidR="008C1A02" w:rsidRPr="008A2F9A">
        <w:rPr>
          <w:sz w:val="20"/>
          <w:szCs w:val="20"/>
        </w:rPr>
        <w:t>П</w:t>
      </w:r>
      <w:r w:rsidRPr="008A2F9A">
        <w:rPr>
          <w:sz w:val="20"/>
          <w:szCs w:val="20"/>
        </w:rPr>
        <w:t>ериодически проводятся проверки качества данных</w:t>
      </w:r>
      <w:r w:rsidR="008C1A02" w:rsidRPr="008A2F9A">
        <w:rPr>
          <w:sz w:val="20"/>
          <w:szCs w:val="20"/>
        </w:rPr>
        <w:t xml:space="preserve"> для полноты и точности</w:t>
      </w:r>
      <w:r w:rsidR="00B24CF6" w:rsidRPr="008A2F9A">
        <w:rPr>
          <w:sz w:val="20"/>
          <w:szCs w:val="20"/>
        </w:rPr>
        <w:t xml:space="preserve">. Дополнительная информация о </w:t>
      </w:r>
      <w:r w:rsidR="008C1A02" w:rsidRPr="008A2F9A">
        <w:rPr>
          <w:sz w:val="20"/>
          <w:szCs w:val="20"/>
        </w:rPr>
        <w:t xml:space="preserve">программе </w:t>
      </w:r>
      <w:r w:rsidR="00B24CF6" w:rsidRPr="008A2F9A">
        <w:rPr>
          <w:sz w:val="20"/>
          <w:szCs w:val="20"/>
        </w:rPr>
        <w:t>CART</w:t>
      </w:r>
      <w:r w:rsidR="008C1A02" w:rsidRPr="008A2F9A">
        <w:rPr>
          <w:sz w:val="20"/>
          <w:szCs w:val="20"/>
        </w:rPr>
        <w:t>, а также</w:t>
      </w:r>
      <w:r w:rsidR="00B24CF6" w:rsidRPr="008A2F9A">
        <w:rPr>
          <w:sz w:val="20"/>
          <w:szCs w:val="20"/>
        </w:rPr>
        <w:t xml:space="preserve"> </w:t>
      </w:r>
      <w:r w:rsidR="008C1A02" w:rsidRPr="008A2F9A">
        <w:rPr>
          <w:sz w:val="20"/>
          <w:szCs w:val="20"/>
        </w:rPr>
        <w:t xml:space="preserve">о </w:t>
      </w:r>
      <w:proofErr w:type="spellStart"/>
      <w:r w:rsidRPr="008A2F9A">
        <w:rPr>
          <w:sz w:val="20"/>
          <w:szCs w:val="20"/>
        </w:rPr>
        <w:t>валидности</w:t>
      </w:r>
      <w:proofErr w:type="spellEnd"/>
      <w:r w:rsidR="00B24CF6" w:rsidRPr="008A2F9A">
        <w:rPr>
          <w:sz w:val="20"/>
          <w:szCs w:val="20"/>
        </w:rPr>
        <w:t>, полноте и своевременности</w:t>
      </w:r>
      <w:r w:rsidRPr="008A2F9A">
        <w:rPr>
          <w:sz w:val="20"/>
          <w:szCs w:val="20"/>
        </w:rPr>
        <w:t xml:space="preserve"> </w:t>
      </w:r>
      <w:r w:rsidR="00157A33" w:rsidRPr="008A2F9A">
        <w:rPr>
          <w:sz w:val="20"/>
          <w:szCs w:val="20"/>
        </w:rPr>
        <w:t xml:space="preserve">внесения </w:t>
      </w:r>
      <w:r w:rsidRPr="008A2F9A">
        <w:rPr>
          <w:sz w:val="20"/>
          <w:szCs w:val="20"/>
        </w:rPr>
        <w:t xml:space="preserve">данных </w:t>
      </w:r>
      <w:r w:rsidR="008C1A02" w:rsidRPr="008A2F9A">
        <w:rPr>
          <w:sz w:val="20"/>
          <w:szCs w:val="20"/>
        </w:rPr>
        <w:t xml:space="preserve">программы </w:t>
      </w:r>
      <w:r w:rsidRPr="008A2F9A">
        <w:rPr>
          <w:sz w:val="20"/>
          <w:szCs w:val="20"/>
        </w:rPr>
        <w:t>CART была описана ранее</w:t>
      </w:r>
      <w:r w:rsidR="00B24CF6" w:rsidRPr="008A2F9A">
        <w:rPr>
          <w:sz w:val="20"/>
          <w:szCs w:val="20"/>
          <w:vertAlign w:val="superscript"/>
        </w:rPr>
        <w:t>7-10</w:t>
      </w:r>
      <w:r w:rsidRPr="008A2F9A">
        <w:rPr>
          <w:sz w:val="20"/>
          <w:szCs w:val="20"/>
        </w:rPr>
        <w:t>.</w:t>
      </w:r>
      <w:r w:rsidR="00B24CF6" w:rsidRPr="008A2F9A">
        <w:rPr>
          <w:sz w:val="20"/>
          <w:szCs w:val="20"/>
        </w:rPr>
        <w:t xml:space="preserve"> Анализ был одобрен </w:t>
      </w:r>
      <w:r w:rsidR="00290AF6" w:rsidRPr="008A2F9A">
        <w:rPr>
          <w:sz w:val="20"/>
          <w:szCs w:val="20"/>
        </w:rPr>
        <w:t xml:space="preserve">Сводным </w:t>
      </w:r>
      <w:r w:rsidRPr="008A2F9A">
        <w:rPr>
          <w:sz w:val="20"/>
          <w:szCs w:val="20"/>
        </w:rPr>
        <w:t>институциональным ревизионным советом по вопросам этики</w:t>
      </w:r>
      <w:r w:rsidR="00B24CF6" w:rsidRPr="008A2F9A">
        <w:rPr>
          <w:sz w:val="20"/>
          <w:szCs w:val="20"/>
        </w:rPr>
        <w:t xml:space="preserve"> штата Колорадо.</w:t>
      </w:r>
    </w:p>
    <w:p w:rsidR="00290AF6" w:rsidRPr="008A2F9A" w:rsidRDefault="00290AF6" w:rsidP="00290AF6">
      <w:pPr>
        <w:spacing w:after="12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 xml:space="preserve">Противопоказания для применения </w:t>
      </w:r>
      <w:proofErr w:type="spellStart"/>
      <w:r w:rsidRPr="008A2F9A">
        <w:rPr>
          <w:b/>
          <w:sz w:val="20"/>
          <w:szCs w:val="20"/>
        </w:rPr>
        <w:t>антитромбоцитарных</w:t>
      </w:r>
      <w:proofErr w:type="spellEnd"/>
      <w:r w:rsidRPr="008A2F9A">
        <w:rPr>
          <w:b/>
          <w:sz w:val="20"/>
          <w:szCs w:val="20"/>
        </w:rPr>
        <w:t xml:space="preserve"> препаратов</w:t>
      </w:r>
    </w:p>
    <w:p w:rsidR="00290AF6" w:rsidRPr="008A2F9A" w:rsidRDefault="00790B67" w:rsidP="00DC0A32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>Авторы п</w:t>
      </w:r>
      <w:r w:rsidR="00290AF6" w:rsidRPr="008A2F9A">
        <w:rPr>
          <w:sz w:val="20"/>
          <w:szCs w:val="20"/>
        </w:rPr>
        <w:t xml:space="preserve">ровели оценку следующих широко используемых </w:t>
      </w:r>
      <w:proofErr w:type="spellStart"/>
      <w:r w:rsidR="00290AF6" w:rsidRPr="008A2F9A">
        <w:rPr>
          <w:sz w:val="20"/>
          <w:szCs w:val="20"/>
        </w:rPr>
        <w:t>антитромбоцитарных</w:t>
      </w:r>
      <w:proofErr w:type="spellEnd"/>
      <w:r w:rsidR="00290AF6" w:rsidRPr="008A2F9A">
        <w:rPr>
          <w:sz w:val="20"/>
          <w:szCs w:val="20"/>
        </w:rPr>
        <w:t xml:space="preserve"> препаратов, применяемых при проведении ЧКВ:</w:t>
      </w:r>
      <w:r w:rsidR="00614B41"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прасугрел</w:t>
      </w:r>
      <w:proofErr w:type="spellEnd"/>
      <w:r w:rsidR="00290AF6"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тикагрелор</w:t>
      </w:r>
      <w:proofErr w:type="spellEnd"/>
      <w:r w:rsidR="00290AF6"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абциксимаб</w:t>
      </w:r>
      <w:proofErr w:type="spellEnd"/>
      <w:r w:rsidR="00290AF6" w:rsidRPr="008A2F9A">
        <w:rPr>
          <w:sz w:val="20"/>
          <w:szCs w:val="20"/>
        </w:rPr>
        <w:t xml:space="preserve">, </w:t>
      </w:r>
      <w:proofErr w:type="spellStart"/>
      <w:r w:rsidRPr="008A2F9A">
        <w:rPr>
          <w:sz w:val="20"/>
          <w:szCs w:val="20"/>
        </w:rPr>
        <w:t>эптифибатид</w:t>
      </w:r>
      <w:proofErr w:type="spellEnd"/>
      <w:r w:rsidR="00290AF6" w:rsidRPr="008A2F9A">
        <w:rPr>
          <w:sz w:val="20"/>
          <w:szCs w:val="20"/>
        </w:rPr>
        <w:t xml:space="preserve"> и </w:t>
      </w:r>
      <w:proofErr w:type="spellStart"/>
      <w:r w:rsidRPr="008A2F9A">
        <w:rPr>
          <w:sz w:val="20"/>
          <w:szCs w:val="20"/>
        </w:rPr>
        <w:t>тирофибан</w:t>
      </w:r>
      <w:proofErr w:type="spellEnd"/>
      <w:r w:rsidR="00290AF6" w:rsidRPr="008A2F9A">
        <w:rPr>
          <w:sz w:val="20"/>
          <w:szCs w:val="20"/>
        </w:rPr>
        <w:t xml:space="preserve">. Противопоказания к лекарственным </w:t>
      </w:r>
      <w:r w:rsidRPr="008A2F9A">
        <w:rPr>
          <w:sz w:val="20"/>
          <w:szCs w:val="20"/>
        </w:rPr>
        <w:t>препаратам</w:t>
      </w:r>
      <w:r w:rsidR="00290AF6" w:rsidRPr="008A2F9A">
        <w:rPr>
          <w:sz w:val="20"/>
          <w:szCs w:val="20"/>
        </w:rPr>
        <w:t xml:space="preserve"> были определены в соответствии с </w:t>
      </w:r>
      <w:r w:rsidRPr="008A2F9A">
        <w:rPr>
          <w:sz w:val="20"/>
          <w:szCs w:val="20"/>
        </w:rPr>
        <w:t xml:space="preserve">инструкцией по применению лекарственного препарата по данным </w:t>
      </w:r>
      <w:r w:rsidR="00290AF6" w:rsidRPr="008A2F9A">
        <w:rPr>
          <w:sz w:val="20"/>
          <w:szCs w:val="20"/>
        </w:rPr>
        <w:t xml:space="preserve">с 1 октября 2007 года по 30 сентября 2013 года, которые были получены с веб-сайта Управления </w:t>
      </w:r>
      <w:r w:rsidR="00614B41" w:rsidRPr="008A2F9A">
        <w:rPr>
          <w:sz w:val="20"/>
          <w:szCs w:val="20"/>
        </w:rPr>
        <w:t>по санитарному надзору за качеством пищевых продуктов и медикаментов</w:t>
      </w:r>
      <w:r w:rsidRPr="008A2F9A">
        <w:rPr>
          <w:sz w:val="20"/>
          <w:szCs w:val="20"/>
        </w:rPr>
        <w:t xml:space="preserve"> США</w:t>
      </w:r>
      <w:r w:rsidR="00614B41" w:rsidRPr="008A2F9A">
        <w:rPr>
          <w:sz w:val="20"/>
          <w:szCs w:val="20"/>
        </w:rPr>
        <w:t xml:space="preserve"> </w:t>
      </w:r>
      <w:r w:rsidR="00290AF6" w:rsidRPr="008A2F9A">
        <w:rPr>
          <w:sz w:val="20"/>
          <w:szCs w:val="20"/>
        </w:rPr>
        <w:t xml:space="preserve">5 сентября 2014 года, включая все изменения </w:t>
      </w:r>
      <w:r w:rsidRPr="008A2F9A">
        <w:rPr>
          <w:sz w:val="20"/>
          <w:szCs w:val="20"/>
        </w:rPr>
        <w:t xml:space="preserve">на </w:t>
      </w:r>
      <w:r w:rsidR="00290AF6" w:rsidRPr="008A2F9A">
        <w:rPr>
          <w:sz w:val="20"/>
          <w:szCs w:val="20"/>
        </w:rPr>
        <w:t>этикетк</w:t>
      </w:r>
      <w:r w:rsidRPr="008A2F9A">
        <w:rPr>
          <w:sz w:val="20"/>
          <w:szCs w:val="20"/>
        </w:rPr>
        <w:t xml:space="preserve">е </w:t>
      </w:r>
      <w:r w:rsidR="00157A33" w:rsidRPr="008A2F9A">
        <w:rPr>
          <w:sz w:val="20"/>
          <w:szCs w:val="20"/>
        </w:rPr>
        <w:t>за</w:t>
      </w:r>
      <w:r w:rsidR="00290AF6" w:rsidRPr="008A2F9A">
        <w:rPr>
          <w:sz w:val="20"/>
          <w:szCs w:val="20"/>
        </w:rPr>
        <w:t xml:space="preserve"> период с октября 2007 года по сентябрь 2013 года (таблица 1).</w:t>
      </w:r>
      <w:r w:rsidRPr="008A2F9A">
        <w:rPr>
          <w:sz w:val="20"/>
          <w:szCs w:val="20"/>
        </w:rPr>
        <w:t xml:space="preserve"> </w:t>
      </w:r>
      <w:r w:rsidR="008C1A02" w:rsidRPr="008A2F9A">
        <w:rPr>
          <w:sz w:val="20"/>
          <w:szCs w:val="20"/>
        </w:rPr>
        <w:t>В</w:t>
      </w:r>
      <w:r w:rsidR="00290AF6" w:rsidRPr="008A2F9A">
        <w:rPr>
          <w:sz w:val="20"/>
          <w:szCs w:val="20"/>
        </w:rPr>
        <w:t xml:space="preserve"> этот анализ</w:t>
      </w:r>
      <w:r w:rsidR="008C1A02" w:rsidRPr="008A2F9A">
        <w:rPr>
          <w:sz w:val="20"/>
          <w:szCs w:val="20"/>
        </w:rPr>
        <w:t xml:space="preserve"> не был включен</w:t>
      </w:r>
      <w:r w:rsidR="00614B41" w:rsidRPr="008A2F9A">
        <w:rPr>
          <w:sz w:val="20"/>
          <w:szCs w:val="20"/>
        </w:rPr>
        <w:t xml:space="preserve"> </w:t>
      </w:r>
      <w:proofErr w:type="spellStart"/>
      <w:r w:rsidR="008C1A02" w:rsidRPr="008A2F9A">
        <w:rPr>
          <w:sz w:val="20"/>
          <w:szCs w:val="20"/>
        </w:rPr>
        <w:t>клопидогрель</w:t>
      </w:r>
      <w:proofErr w:type="spellEnd"/>
      <w:r w:rsidR="00290AF6" w:rsidRPr="008A2F9A">
        <w:rPr>
          <w:sz w:val="20"/>
          <w:szCs w:val="20"/>
        </w:rPr>
        <w:t xml:space="preserve">, </w:t>
      </w:r>
      <w:r w:rsidR="00DC0A32" w:rsidRPr="008A2F9A">
        <w:rPr>
          <w:sz w:val="20"/>
          <w:szCs w:val="20"/>
        </w:rPr>
        <w:t xml:space="preserve">хотя </w:t>
      </w:r>
      <w:r w:rsidR="008C1A02" w:rsidRPr="008A2F9A">
        <w:rPr>
          <w:sz w:val="20"/>
          <w:szCs w:val="20"/>
        </w:rPr>
        <w:t>он является</w:t>
      </w:r>
      <w:r w:rsidR="00DC0A32" w:rsidRPr="008A2F9A">
        <w:rPr>
          <w:sz w:val="20"/>
          <w:szCs w:val="20"/>
        </w:rPr>
        <w:t xml:space="preserve"> наиболее часто используемы</w:t>
      </w:r>
      <w:r w:rsidR="008C1A02" w:rsidRPr="008A2F9A">
        <w:rPr>
          <w:sz w:val="20"/>
          <w:szCs w:val="20"/>
        </w:rPr>
        <w:t>м</w:t>
      </w:r>
      <w:r w:rsidR="00DC0A32" w:rsidRPr="008A2F9A">
        <w:rPr>
          <w:sz w:val="20"/>
          <w:szCs w:val="20"/>
        </w:rPr>
        <w:t xml:space="preserve"> ингибитор</w:t>
      </w:r>
      <w:r w:rsidR="008C1A02" w:rsidRPr="008A2F9A">
        <w:rPr>
          <w:sz w:val="20"/>
          <w:szCs w:val="20"/>
        </w:rPr>
        <w:t>ом</w:t>
      </w:r>
      <w:r w:rsidR="00DC0A32" w:rsidRPr="008A2F9A">
        <w:rPr>
          <w:sz w:val="20"/>
          <w:szCs w:val="20"/>
        </w:rPr>
        <w:t xml:space="preserve"> P2Y12 с известными противопоказаниями, так как авторы</w:t>
      </w:r>
      <w:r w:rsidR="00290AF6" w:rsidRPr="008A2F9A">
        <w:rPr>
          <w:sz w:val="20"/>
          <w:szCs w:val="20"/>
        </w:rPr>
        <w:t xml:space="preserve"> не смогли о</w:t>
      </w:r>
      <w:r w:rsidR="00DC0A32" w:rsidRPr="008A2F9A">
        <w:rPr>
          <w:sz w:val="20"/>
          <w:szCs w:val="20"/>
        </w:rPr>
        <w:t>пределить</w:t>
      </w:r>
      <w:r w:rsidR="00290AF6" w:rsidRPr="008A2F9A">
        <w:rPr>
          <w:sz w:val="20"/>
          <w:szCs w:val="20"/>
        </w:rPr>
        <w:t xml:space="preserve"> </w:t>
      </w:r>
      <w:r w:rsidR="00157A33" w:rsidRPr="008A2F9A">
        <w:rPr>
          <w:sz w:val="20"/>
          <w:szCs w:val="20"/>
        </w:rPr>
        <w:t>на основе</w:t>
      </w:r>
      <w:r w:rsidR="00614B41" w:rsidRPr="008A2F9A">
        <w:rPr>
          <w:sz w:val="20"/>
          <w:szCs w:val="20"/>
        </w:rPr>
        <w:t xml:space="preserve"> </w:t>
      </w:r>
      <w:r w:rsidR="00157A33" w:rsidRPr="008A2F9A">
        <w:rPr>
          <w:sz w:val="20"/>
          <w:szCs w:val="20"/>
        </w:rPr>
        <w:t>информации</w:t>
      </w:r>
      <w:r w:rsidR="00614B41" w:rsidRPr="008A2F9A">
        <w:rPr>
          <w:sz w:val="20"/>
          <w:szCs w:val="20"/>
        </w:rPr>
        <w:t xml:space="preserve"> </w:t>
      </w:r>
      <w:r w:rsidR="00157A33" w:rsidRPr="008A2F9A">
        <w:rPr>
          <w:sz w:val="20"/>
          <w:szCs w:val="20"/>
        </w:rPr>
        <w:t xml:space="preserve">в инструкции по применению </w:t>
      </w:r>
      <w:r w:rsidR="00290AF6" w:rsidRPr="008A2F9A">
        <w:rPr>
          <w:sz w:val="20"/>
          <w:szCs w:val="20"/>
        </w:rPr>
        <w:t xml:space="preserve">два противопоказания </w:t>
      </w:r>
      <w:r w:rsidR="00DC0A32" w:rsidRPr="008A2F9A">
        <w:rPr>
          <w:sz w:val="20"/>
          <w:szCs w:val="20"/>
        </w:rPr>
        <w:t>этого препарата</w:t>
      </w:r>
      <w:r w:rsidR="00474968" w:rsidRPr="008A2F9A">
        <w:rPr>
          <w:sz w:val="20"/>
          <w:szCs w:val="20"/>
        </w:rPr>
        <w:t xml:space="preserve"> (активное патологическое кровотечение и гиперчувствительность к </w:t>
      </w:r>
      <w:proofErr w:type="spellStart"/>
      <w:r w:rsidR="00474968" w:rsidRPr="008A2F9A">
        <w:rPr>
          <w:sz w:val="20"/>
          <w:szCs w:val="20"/>
        </w:rPr>
        <w:t>клопидогрелю</w:t>
      </w:r>
      <w:proofErr w:type="spellEnd"/>
      <w:r w:rsidR="00474968" w:rsidRPr="008A2F9A">
        <w:rPr>
          <w:sz w:val="20"/>
          <w:szCs w:val="20"/>
        </w:rPr>
        <w:t>)</w:t>
      </w:r>
      <w:r w:rsidR="00290AF6" w:rsidRPr="008A2F9A">
        <w:rPr>
          <w:sz w:val="20"/>
          <w:szCs w:val="20"/>
        </w:rPr>
        <w:t xml:space="preserve">. </w:t>
      </w:r>
      <w:r w:rsidR="00474968" w:rsidRPr="008A2F9A">
        <w:rPr>
          <w:sz w:val="20"/>
          <w:szCs w:val="20"/>
        </w:rPr>
        <w:t>Наличие</w:t>
      </w:r>
      <w:r w:rsidR="00290AF6" w:rsidRPr="008A2F9A">
        <w:rPr>
          <w:sz w:val="20"/>
          <w:szCs w:val="20"/>
        </w:rPr>
        <w:t xml:space="preserve"> абсолютных противопоказаний к лечению для отдельных пациентов определяли путем оценки самого последнего </w:t>
      </w:r>
      <w:r w:rsidR="00474968" w:rsidRPr="008A2F9A">
        <w:rPr>
          <w:sz w:val="20"/>
          <w:szCs w:val="20"/>
        </w:rPr>
        <w:t xml:space="preserve">показателя при </w:t>
      </w:r>
      <w:r w:rsidR="00DC0A32" w:rsidRPr="008A2F9A">
        <w:rPr>
          <w:sz w:val="20"/>
          <w:szCs w:val="20"/>
        </w:rPr>
        <w:t>измерени</w:t>
      </w:r>
      <w:r w:rsidR="00474968" w:rsidRPr="008A2F9A">
        <w:rPr>
          <w:sz w:val="20"/>
          <w:szCs w:val="20"/>
        </w:rPr>
        <w:t>и</w:t>
      </w:r>
      <w:r w:rsidR="00DC0A32" w:rsidRPr="008A2F9A">
        <w:rPr>
          <w:sz w:val="20"/>
          <w:szCs w:val="20"/>
        </w:rPr>
        <w:t xml:space="preserve"> </w:t>
      </w:r>
      <w:r w:rsidR="00290AF6" w:rsidRPr="008A2F9A">
        <w:rPr>
          <w:sz w:val="20"/>
          <w:szCs w:val="20"/>
        </w:rPr>
        <w:t xml:space="preserve">артериального давления в </w:t>
      </w:r>
      <w:r w:rsidR="00DC0A32" w:rsidRPr="008A2F9A">
        <w:rPr>
          <w:sz w:val="20"/>
          <w:szCs w:val="20"/>
        </w:rPr>
        <w:t>период</w:t>
      </w:r>
      <w:r w:rsidR="00290AF6" w:rsidRPr="008A2F9A">
        <w:rPr>
          <w:sz w:val="20"/>
          <w:szCs w:val="20"/>
        </w:rPr>
        <w:t xml:space="preserve"> семи дней до ЧКВ</w:t>
      </w:r>
      <w:r w:rsidR="00474968" w:rsidRPr="008A2F9A">
        <w:rPr>
          <w:sz w:val="20"/>
          <w:szCs w:val="20"/>
        </w:rPr>
        <w:t xml:space="preserve"> для выявления</w:t>
      </w:r>
      <w:r w:rsidR="00290AF6" w:rsidRPr="008A2F9A">
        <w:rPr>
          <w:sz w:val="20"/>
          <w:szCs w:val="20"/>
        </w:rPr>
        <w:t xml:space="preserve"> пациентов с тяжелой гипертензией (70% </w:t>
      </w:r>
      <w:r w:rsidR="00DC0A32" w:rsidRPr="008A2F9A">
        <w:rPr>
          <w:sz w:val="20"/>
          <w:szCs w:val="20"/>
        </w:rPr>
        <w:t xml:space="preserve">из них </w:t>
      </w:r>
      <w:r w:rsidR="00290AF6" w:rsidRPr="008A2F9A">
        <w:rPr>
          <w:sz w:val="20"/>
          <w:szCs w:val="20"/>
        </w:rPr>
        <w:t xml:space="preserve">были </w:t>
      </w:r>
      <w:r w:rsidR="00DC0A32" w:rsidRPr="008A2F9A">
        <w:rPr>
          <w:sz w:val="20"/>
          <w:szCs w:val="20"/>
        </w:rPr>
        <w:t xml:space="preserve">выявлены </w:t>
      </w:r>
      <w:r w:rsidR="00290AF6" w:rsidRPr="008A2F9A">
        <w:rPr>
          <w:sz w:val="20"/>
          <w:szCs w:val="20"/>
        </w:rPr>
        <w:t xml:space="preserve">во время ЧКВ и 87% были </w:t>
      </w:r>
      <w:r w:rsidR="00DC0A32" w:rsidRPr="008A2F9A">
        <w:rPr>
          <w:sz w:val="20"/>
          <w:szCs w:val="20"/>
        </w:rPr>
        <w:t>выявлены</w:t>
      </w:r>
      <w:r w:rsidR="00290AF6" w:rsidRPr="008A2F9A">
        <w:rPr>
          <w:sz w:val="20"/>
          <w:szCs w:val="20"/>
        </w:rPr>
        <w:t xml:space="preserve"> в течение 1 дня </w:t>
      </w:r>
      <w:r w:rsidR="00DC0A32" w:rsidRPr="008A2F9A">
        <w:rPr>
          <w:sz w:val="20"/>
          <w:szCs w:val="20"/>
        </w:rPr>
        <w:t xml:space="preserve">до </w:t>
      </w:r>
      <w:r w:rsidR="00290AF6" w:rsidRPr="008A2F9A">
        <w:rPr>
          <w:sz w:val="20"/>
          <w:szCs w:val="20"/>
        </w:rPr>
        <w:t>ЧКВ), самы</w:t>
      </w:r>
      <w:r w:rsidR="00474968" w:rsidRPr="008A2F9A">
        <w:rPr>
          <w:sz w:val="20"/>
          <w:szCs w:val="20"/>
        </w:rPr>
        <w:t>х</w:t>
      </w:r>
      <w:r w:rsidR="00290AF6" w:rsidRPr="008A2F9A">
        <w:rPr>
          <w:sz w:val="20"/>
          <w:szCs w:val="20"/>
        </w:rPr>
        <w:t xml:space="preserve"> последни</w:t>
      </w:r>
      <w:r w:rsidR="00474968" w:rsidRPr="008A2F9A">
        <w:rPr>
          <w:sz w:val="20"/>
          <w:szCs w:val="20"/>
        </w:rPr>
        <w:t>х</w:t>
      </w:r>
      <w:r w:rsidR="00290AF6" w:rsidRPr="008A2F9A">
        <w:rPr>
          <w:sz w:val="20"/>
          <w:szCs w:val="20"/>
        </w:rPr>
        <w:t xml:space="preserve"> </w:t>
      </w:r>
      <w:r w:rsidR="00DC0A32" w:rsidRPr="008A2F9A">
        <w:rPr>
          <w:sz w:val="20"/>
          <w:szCs w:val="20"/>
        </w:rPr>
        <w:t>данны</w:t>
      </w:r>
      <w:r w:rsidR="00474968" w:rsidRPr="008A2F9A">
        <w:rPr>
          <w:sz w:val="20"/>
          <w:szCs w:val="20"/>
        </w:rPr>
        <w:t>х</w:t>
      </w:r>
      <w:r w:rsidR="00DC0A32" w:rsidRPr="008A2F9A">
        <w:rPr>
          <w:sz w:val="20"/>
          <w:szCs w:val="20"/>
        </w:rPr>
        <w:t xml:space="preserve"> </w:t>
      </w:r>
      <w:r w:rsidR="00290AF6" w:rsidRPr="008A2F9A">
        <w:rPr>
          <w:sz w:val="20"/>
          <w:szCs w:val="20"/>
        </w:rPr>
        <w:t>лабораторны</w:t>
      </w:r>
      <w:r w:rsidR="00DC0A32" w:rsidRPr="008A2F9A">
        <w:rPr>
          <w:sz w:val="20"/>
          <w:szCs w:val="20"/>
        </w:rPr>
        <w:t>х исследований, полученны</w:t>
      </w:r>
      <w:r w:rsidR="00474968" w:rsidRPr="008A2F9A">
        <w:rPr>
          <w:sz w:val="20"/>
          <w:szCs w:val="20"/>
        </w:rPr>
        <w:t>х</w:t>
      </w:r>
      <w:r w:rsidR="00290AF6" w:rsidRPr="008A2F9A">
        <w:rPr>
          <w:sz w:val="20"/>
          <w:szCs w:val="20"/>
        </w:rPr>
        <w:t xml:space="preserve"> в течение 30 дней до ЧКВ для выявления пациентов с тромбоцитопенией</w:t>
      </w:r>
      <w:r w:rsidR="00DC0A32" w:rsidRPr="008A2F9A">
        <w:rPr>
          <w:sz w:val="20"/>
          <w:szCs w:val="20"/>
        </w:rPr>
        <w:t>,</w:t>
      </w:r>
      <w:r w:rsidR="00474968" w:rsidRPr="008A2F9A">
        <w:rPr>
          <w:sz w:val="20"/>
          <w:szCs w:val="20"/>
        </w:rPr>
        <w:t xml:space="preserve"> и </w:t>
      </w:r>
      <w:r w:rsidR="00290AF6" w:rsidRPr="008A2F9A">
        <w:rPr>
          <w:sz w:val="20"/>
          <w:szCs w:val="20"/>
        </w:rPr>
        <w:t>люб</w:t>
      </w:r>
      <w:r w:rsidR="00474968" w:rsidRPr="008A2F9A">
        <w:rPr>
          <w:sz w:val="20"/>
          <w:szCs w:val="20"/>
        </w:rPr>
        <w:t>ой</w:t>
      </w:r>
      <w:r w:rsidR="00DC0A32" w:rsidRPr="008A2F9A">
        <w:rPr>
          <w:sz w:val="20"/>
          <w:szCs w:val="20"/>
        </w:rPr>
        <w:t xml:space="preserve"> нозологи</w:t>
      </w:r>
      <w:r w:rsidR="00474968" w:rsidRPr="008A2F9A">
        <w:rPr>
          <w:sz w:val="20"/>
          <w:szCs w:val="20"/>
        </w:rPr>
        <w:t>и</w:t>
      </w:r>
      <w:r w:rsidR="00DC0A32" w:rsidRPr="008A2F9A">
        <w:rPr>
          <w:sz w:val="20"/>
          <w:szCs w:val="20"/>
        </w:rPr>
        <w:t xml:space="preserve"> в</w:t>
      </w:r>
      <w:r w:rsidR="00614B41" w:rsidRPr="008A2F9A">
        <w:rPr>
          <w:sz w:val="20"/>
          <w:szCs w:val="20"/>
        </w:rPr>
        <w:t xml:space="preserve"> </w:t>
      </w:r>
      <w:r w:rsidR="00DC0A32" w:rsidRPr="008A2F9A">
        <w:rPr>
          <w:sz w:val="20"/>
          <w:szCs w:val="20"/>
        </w:rPr>
        <w:t xml:space="preserve">соответствии с </w:t>
      </w:r>
      <w:r w:rsidR="00474968" w:rsidRPr="008A2F9A">
        <w:rPr>
          <w:sz w:val="20"/>
          <w:szCs w:val="20"/>
        </w:rPr>
        <w:t xml:space="preserve">кодом </w:t>
      </w:r>
      <w:r w:rsidR="00290AF6" w:rsidRPr="008A2F9A">
        <w:rPr>
          <w:sz w:val="20"/>
          <w:szCs w:val="20"/>
        </w:rPr>
        <w:t xml:space="preserve">МКБ-9 в электронной медицинской карте, </w:t>
      </w:r>
      <w:r w:rsidR="00157A33" w:rsidRPr="008A2F9A">
        <w:rPr>
          <w:sz w:val="20"/>
          <w:szCs w:val="20"/>
        </w:rPr>
        <w:t>соответствующей</w:t>
      </w:r>
      <w:r w:rsidR="00290AF6" w:rsidRPr="008A2F9A">
        <w:rPr>
          <w:sz w:val="20"/>
          <w:szCs w:val="20"/>
        </w:rPr>
        <w:t xml:space="preserve"> </w:t>
      </w:r>
      <w:r w:rsidR="00DC0A32" w:rsidRPr="008A2F9A">
        <w:rPr>
          <w:sz w:val="20"/>
          <w:szCs w:val="20"/>
        </w:rPr>
        <w:t>сопутствующему</w:t>
      </w:r>
      <w:r w:rsidR="00614B41" w:rsidRPr="008A2F9A">
        <w:rPr>
          <w:sz w:val="20"/>
          <w:szCs w:val="20"/>
        </w:rPr>
        <w:t xml:space="preserve"> </w:t>
      </w:r>
      <w:r w:rsidR="00DC0A32" w:rsidRPr="008A2F9A">
        <w:rPr>
          <w:sz w:val="20"/>
          <w:szCs w:val="20"/>
        </w:rPr>
        <w:t xml:space="preserve">заболеванию, </w:t>
      </w:r>
      <w:r w:rsidR="00157A33" w:rsidRPr="008A2F9A">
        <w:rPr>
          <w:sz w:val="20"/>
          <w:szCs w:val="20"/>
        </w:rPr>
        <w:t>которое является</w:t>
      </w:r>
      <w:r w:rsidR="00DC0A32" w:rsidRPr="008A2F9A">
        <w:rPr>
          <w:sz w:val="20"/>
          <w:szCs w:val="20"/>
        </w:rPr>
        <w:t xml:space="preserve"> противопоказанием согласно инструкции по применению, утвержденной Управление</w:t>
      </w:r>
      <w:r w:rsidR="00474968" w:rsidRPr="008A2F9A">
        <w:rPr>
          <w:sz w:val="20"/>
          <w:szCs w:val="20"/>
        </w:rPr>
        <w:t>м</w:t>
      </w:r>
      <w:r w:rsidR="00DC0A32" w:rsidRPr="008A2F9A">
        <w:rPr>
          <w:sz w:val="20"/>
          <w:szCs w:val="20"/>
        </w:rPr>
        <w:t xml:space="preserve"> </w:t>
      </w:r>
      <w:r w:rsidR="00614B41" w:rsidRPr="008A2F9A">
        <w:rPr>
          <w:sz w:val="20"/>
          <w:szCs w:val="20"/>
        </w:rPr>
        <w:t>по санитарному надзору за качеством пищевых продуктов и медикаментов</w:t>
      </w:r>
      <w:r w:rsidR="00DC0A32" w:rsidRPr="008A2F9A">
        <w:rPr>
          <w:sz w:val="20"/>
          <w:szCs w:val="20"/>
        </w:rPr>
        <w:t xml:space="preserve"> США</w:t>
      </w:r>
      <w:r w:rsidR="00614B41" w:rsidRPr="008A2F9A">
        <w:rPr>
          <w:sz w:val="20"/>
          <w:szCs w:val="20"/>
        </w:rPr>
        <w:t xml:space="preserve"> </w:t>
      </w:r>
      <w:r w:rsidR="00290AF6" w:rsidRPr="008A2F9A">
        <w:rPr>
          <w:sz w:val="20"/>
          <w:szCs w:val="20"/>
        </w:rPr>
        <w:t xml:space="preserve">(см. Приложение 1). </w:t>
      </w:r>
      <w:r w:rsidR="00DC0A32" w:rsidRPr="008A2F9A">
        <w:rPr>
          <w:sz w:val="20"/>
          <w:szCs w:val="20"/>
        </w:rPr>
        <w:t>Сопутствующими заболеваниями</w:t>
      </w:r>
      <w:r w:rsidR="00290AF6" w:rsidRPr="008A2F9A">
        <w:rPr>
          <w:sz w:val="20"/>
          <w:szCs w:val="20"/>
        </w:rPr>
        <w:t xml:space="preserve"> были </w:t>
      </w:r>
      <w:r w:rsidR="00DC0A32" w:rsidRPr="008A2F9A">
        <w:rPr>
          <w:sz w:val="20"/>
          <w:szCs w:val="20"/>
        </w:rPr>
        <w:t xml:space="preserve">те, которые были </w:t>
      </w:r>
      <w:r w:rsidR="00290AF6" w:rsidRPr="008A2F9A">
        <w:rPr>
          <w:sz w:val="20"/>
          <w:szCs w:val="20"/>
        </w:rPr>
        <w:t>о</w:t>
      </w:r>
      <w:r w:rsidR="00DC0A32" w:rsidRPr="008A2F9A">
        <w:rPr>
          <w:sz w:val="20"/>
          <w:szCs w:val="20"/>
        </w:rPr>
        <w:t>пределены</w:t>
      </w:r>
      <w:r w:rsidR="00290AF6" w:rsidRPr="008A2F9A">
        <w:rPr>
          <w:sz w:val="20"/>
          <w:szCs w:val="20"/>
        </w:rPr>
        <w:t xml:space="preserve"> в медицинской карте в любой момент </w:t>
      </w:r>
      <w:r w:rsidR="00DC0A32" w:rsidRPr="008A2F9A">
        <w:rPr>
          <w:sz w:val="20"/>
          <w:szCs w:val="20"/>
        </w:rPr>
        <w:t xml:space="preserve">времени в период </w:t>
      </w:r>
      <w:r w:rsidR="00290AF6" w:rsidRPr="008A2F9A">
        <w:rPr>
          <w:sz w:val="20"/>
          <w:szCs w:val="20"/>
        </w:rPr>
        <w:t>между октябрем 2004 года (начало программы</w:t>
      </w:r>
      <w:r w:rsidR="00474968" w:rsidRPr="008A2F9A">
        <w:rPr>
          <w:sz w:val="20"/>
          <w:szCs w:val="20"/>
        </w:rPr>
        <w:t xml:space="preserve"> АВ</w:t>
      </w:r>
      <w:r w:rsidR="00290AF6" w:rsidRPr="008A2F9A">
        <w:rPr>
          <w:sz w:val="20"/>
          <w:szCs w:val="20"/>
        </w:rPr>
        <w:t xml:space="preserve"> </w:t>
      </w:r>
      <w:r w:rsidR="00474968" w:rsidRPr="008A2F9A">
        <w:rPr>
          <w:sz w:val="20"/>
          <w:szCs w:val="20"/>
        </w:rPr>
        <w:t>«</w:t>
      </w:r>
      <w:r w:rsidR="00290AF6" w:rsidRPr="008A2F9A">
        <w:rPr>
          <w:sz w:val="20"/>
          <w:szCs w:val="20"/>
        </w:rPr>
        <w:t>VA CART</w:t>
      </w:r>
      <w:r w:rsidR="00474968" w:rsidRPr="008A2F9A">
        <w:rPr>
          <w:sz w:val="20"/>
          <w:szCs w:val="20"/>
        </w:rPr>
        <w:t>»</w:t>
      </w:r>
      <w:r w:rsidR="00290AF6" w:rsidRPr="008A2F9A">
        <w:rPr>
          <w:sz w:val="20"/>
          <w:szCs w:val="20"/>
        </w:rPr>
        <w:t>) и датой</w:t>
      </w:r>
      <w:r w:rsidR="00DC0A32" w:rsidRPr="008A2F9A">
        <w:rPr>
          <w:sz w:val="20"/>
          <w:szCs w:val="20"/>
        </w:rPr>
        <w:t xml:space="preserve"> ЧКВ.</w:t>
      </w:r>
    </w:p>
    <w:p w:rsidR="00DC0A32" w:rsidRPr="008A2F9A" w:rsidRDefault="00DC0A32" w:rsidP="00DC0A32">
      <w:pPr>
        <w:spacing w:after="12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 xml:space="preserve">Использование </w:t>
      </w:r>
      <w:proofErr w:type="spellStart"/>
      <w:r w:rsidRPr="008A2F9A">
        <w:rPr>
          <w:b/>
          <w:sz w:val="20"/>
          <w:szCs w:val="20"/>
        </w:rPr>
        <w:t>антитромбоцитарных</w:t>
      </w:r>
      <w:proofErr w:type="spellEnd"/>
      <w:r w:rsidRPr="008A2F9A">
        <w:rPr>
          <w:b/>
          <w:sz w:val="20"/>
          <w:szCs w:val="20"/>
        </w:rPr>
        <w:t xml:space="preserve"> препаратов</w:t>
      </w:r>
    </w:p>
    <w:p w:rsidR="00DC0A32" w:rsidRPr="008A2F9A" w:rsidRDefault="0016657D" w:rsidP="00DC0A32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 xml:space="preserve">Получение </w:t>
      </w:r>
      <w:proofErr w:type="spellStart"/>
      <w:r w:rsidRPr="008A2F9A">
        <w:rPr>
          <w:sz w:val="20"/>
          <w:szCs w:val="20"/>
        </w:rPr>
        <w:t>антитромбоцитарного</w:t>
      </w:r>
      <w:proofErr w:type="spellEnd"/>
      <w:r w:rsidRPr="008A2F9A">
        <w:rPr>
          <w:sz w:val="20"/>
          <w:szCs w:val="20"/>
        </w:rPr>
        <w:t xml:space="preserve"> препарата в </w:t>
      </w:r>
      <w:proofErr w:type="spellStart"/>
      <w:r w:rsidRPr="008A2F9A">
        <w:rPr>
          <w:sz w:val="20"/>
          <w:szCs w:val="20"/>
        </w:rPr>
        <w:t>перипроцедурный</w:t>
      </w:r>
      <w:proofErr w:type="spellEnd"/>
      <w:r w:rsidRPr="008A2F9A">
        <w:rPr>
          <w:sz w:val="20"/>
          <w:szCs w:val="20"/>
        </w:rPr>
        <w:t xml:space="preserve"> период определяли по данным из программы</w:t>
      </w:r>
      <w:r w:rsidR="009037AA" w:rsidRPr="008A2F9A">
        <w:rPr>
          <w:sz w:val="20"/>
          <w:szCs w:val="20"/>
        </w:rPr>
        <w:t xml:space="preserve"> АВ</w:t>
      </w:r>
      <w:r w:rsidRPr="008A2F9A">
        <w:rPr>
          <w:sz w:val="20"/>
          <w:szCs w:val="20"/>
        </w:rPr>
        <w:t xml:space="preserve"> </w:t>
      </w:r>
      <w:r w:rsidR="003D5056" w:rsidRPr="008A2F9A">
        <w:rPr>
          <w:sz w:val="20"/>
          <w:szCs w:val="20"/>
        </w:rPr>
        <w:t>«</w:t>
      </w:r>
      <w:r w:rsidRPr="008A2F9A">
        <w:rPr>
          <w:sz w:val="20"/>
          <w:szCs w:val="20"/>
        </w:rPr>
        <w:t>VA CART</w:t>
      </w:r>
      <w:r w:rsidR="003D5056" w:rsidRPr="008A2F9A">
        <w:rPr>
          <w:sz w:val="20"/>
          <w:szCs w:val="20"/>
        </w:rPr>
        <w:t>»</w:t>
      </w:r>
      <w:r w:rsidR="00474968" w:rsidRPr="008A2F9A">
        <w:rPr>
          <w:sz w:val="20"/>
          <w:szCs w:val="20"/>
        </w:rPr>
        <w:t xml:space="preserve">, </w:t>
      </w:r>
      <w:r w:rsidR="00157A33" w:rsidRPr="008A2F9A">
        <w:rPr>
          <w:sz w:val="20"/>
          <w:szCs w:val="20"/>
        </w:rPr>
        <w:t>которые были дополнены</w:t>
      </w:r>
      <w:r w:rsidR="00474968" w:rsidRPr="008A2F9A">
        <w:rPr>
          <w:sz w:val="20"/>
          <w:szCs w:val="20"/>
        </w:rPr>
        <w:t xml:space="preserve"> данными</w:t>
      </w:r>
      <w:r w:rsidRPr="008A2F9A">
        <w:rPr>
          <w:sz w:val="20"/>
          <w:szCs w:val="20"/>
        </w:rPr>
        <w:t xml:space="preserve"> аптек А</w:t>
      </w:r>
      <w:r w:rsidR="00C33B07" w:rsidRPr="008A2F9A">
        <w:rPr>
          <w:sz w:val="20"/>
          <w:szCs w:val="20"/>
        </w:rPr>
        <w:t>В.</w:t>
      </w:r>
      <w:r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Перипроцедурные</w:t>
      </w:r>
      <w:proofErr w:type="spellEnd"/>
      <w:r w:rsidRPr="008A2F9A">
        <w:rPr>
          <w:sz w:val="20"/>
          <w:szCs w:val="20"/>
        </w:rPr>
        <w:t xml:space="preserve"> препараты </w:t>
      </w:r>
      <w:r w:rsidR="00C33B07" w:rsidRPr="008A2F9A">
        <w:rPr>
          <w:sz w:val="20"/>
          <w:szCs w:val="20"/>
        </w:rPr>
        <w:t>определялись</w:t>
      </w:r>
      <w:r w:rsidRPr="008A2F9A">
        <w:rPr>
          <w:sz w:val="20"/>
          <w:szCs w:val="20"/>
        </w:rPr>
        <w:t xml:space="preserve">, как любой лекарственный препарат, назначенный в день ЧКВ (до или во время процедуры), что было установлено из документации поставщика </w:t>
      </w:r>
      <w:r w:rsidR="00157A33" w:rsidRPr="008A2F9A">
        <w:rPr>
          <w:sz w:val="20"/>
          <w:szCs w:val="20"/>
        </w:rPr>
        <w:t>в</w:t>
      </w:r>
      <w:r w:rsidRPr="008A2F9A">
        <w:rPr>
          <w:sz w:val="20"/>
          <w:szCs w:val="20"/>
        </w:rPr>
        <w:t xml:space="preserve"> клинической записи. </w:t>
      </w:r>
      <w:r w:rsidR="00C33B07" w:rsidRPr="008A2F9A">
        <w:rPr>
          <w:sz w:val="20"/>
          <w:szCs w:val="20"/>
        </w:rPr>
        <w:t>Л</w:t>
      </w:r>
      <w:r w:rsidR="009037AA" w:rsidRPr="008A2F9A">
        <w:rPr>
          <w:sz w:val="20"/>
          <w:szCs w:val="20"/>
        </w:rPr>
        <w:t>екарственные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препараты</w:t>
      </w:r>
      <w:r w:rsidR="00C33B07" w:rsidRPr="008A2F9A">
        <w:rPr>
          <w:sz w:val="20"/>
          <w:szCs w:val="20"/>
        </w:rPr>
        <w:t>, назначенные при выписке,</w:t>
      </w:r>
      <w:r w:rsidR="00614B41" w:rsidRPr="008A2F9A">
        <w:rPr>
          <w:sz w:val="20"/>
          <w:szCs w:val="20"/>
        </w:rPr>
        <w:t xml:space="preserve"> </w:t>
      </w:r>
      <w:r w:rsidR="00C33B07" w:rsidRPr="008A2F9A">
        <w:rPr>
          <w:sz w:val="20"/>
          <w:szCs w:val="20"/>
        </w:rPr>
        <w:t>были установлены</w:t>
      </w:r>
      <w:r w:rsidRPr="008A2F9A">
        <w:rPr>
          <w:sz w:val="20"/>
          <w:szCs w:val="20"/>
        </w:rPr>
        <w:t xml:space="preserve"> </w:t>
      </w:r>
      <w:r w:rsidR="009037AA" w:rsidRPr="008A2F9A">
        <w:rPr>
          <w:sz w:val="20"/>
          <w:szCs w:val="20"/>
        </w:rPr>
        <w:t>на основе</w:t>
      </w:r>
      <w:r w:rsidRPr="008A2F9A">
        <w:rPr>
          <w:sz w:val="20"/>
          <w:szCs w:val="20"/>
        </w:rPr>
        <w:t xml:space="preserve"> данных аптек </w:t>
      </w:r>
      <w:r w:rsidR="009037AA" w:rsidRPr="008A2F9A">
        <w:rPr>
          <w:sz w:val="20"/>
          <w:szCs w:val="20"/>
        </w:rPr>
        <w:t>АВ</w:t>
      </w:r>
      <w:r w:rsidRPr="008A2F9A">
        <w:rPr>
          <w:sz w:val="20"/>
          <w:szCs w:val="20"/>
        </w:rPr>
        <w:t xml:space="preserve"> и определяли</w:t>
      </w:r>
      <w:r w:rsidR="009037AA" w:rsidRPr="008A2F9A">
        <w:rPr>
          <w:sz w:val="20"/>
          <w:szCs w:val="20"/>
        </w:rPr>
        <w:t>,</w:t>
      </w:r>
      <w:r w:rsidRPr="008A2F9A">
        <w:rPr>
          <w:sz w:val="20"/>
          <w:szCs w:val="20"/>
        </w:rPr>
        <w:t xml:space="preserve"> как любо</w:t>
      </w:r>
      <w:r w:rsidR="009037AA" w:rsidRPr="008A2F9A">
        <w:rPr>
          <w:sz w:val="20"/>
          <w:szCs w:val="20"/>
        </w:rPr>
        <w:t>й</w:t>
      </w:r>
      <w:r w:rsidRPr="008A2F9A">
        <w:rPr>
          <w:sz w:val="20"/>
          <w:szCs w:val="20"/>
        </w:rPr>
        <w:t xml:space="preserve"> лекарственн</w:t>
      </w:r>
      <w:r w:rsidR="009037AA" w:rsidRPr="008A2F9A">
        <w:rPr>
          <w:sz w:val="20"/>
          <w:szCs w:val="20"/>
        </w:rPr>
        <w:t>ый</w:t>
      </w:r>
      <w:r w:rsidRPr="008A2F9A">
        <w:rPr>
          <w:sz w:val="20"/>
          <w:szCs w:val="20"/>
        </w:rPr>
        <w:t xml:space="preserve"> </w:t>
      </w:r>
      <w:r w:rsidR="009037AA" w:rsidRPr="008A2F9A">
        <w:rPr>
          <w:sz w:val="20"/>
          <w:szCs w:val="20"/>
        </w:rPr>
        <w:t>препарат</w:t>
      </w:r>
      <w:r w:rsidRPr="008A2F9A">
        <w:rPr>
          <w:sz w:val="20"/>
          <w:szCs w:val="20"/>
        </w:rPr>
        <w:t>, назначенн</w:t>
      </w:r>
      <w:r w:rsidR="009037AA" w:rsidRPr="008A2F9A">
        <w:rPr>
          <w:sz w:val="20"/>
          <w:szCs w:val="20"/>
        </w:rPr>
        <w:t>ый</w:t>
      </w:r>
      <w:r w:rsidRPr="008A2F9A">
        <w:rPr>
          <w:sz w:val="20"/>
          <w:szCs w:val="20"/>
        </w:rPr>
        <w:t xml:space="preserve"> в течение 90 дней после ЧКВ.</w:t>
      </w:r>
    </w:p>
    <w:p w:rsidR="00AA0507" w:rsidRPr="008A2F9A" w:rsidRDefault="00AA0507" w:rsidP="00AA0507">
      <w:pPr>
        <w:spacing w:after="120"/>
        <w:jc w:val="both"/>
        <w:rPr>
          <w:b/>
          <w:sz w:val="20"/>
          <w:szCs w:val="20"/>
        </w:rPr>
      </w:pPr>
      <w:r w:rsidRPr="008A2F9A">
        <w:rPr>
          <w:b/>
          <w:sz w:val="20"/>
          <w:szCs w:val="20"/>
        </w:rPr>
        <w:t>Результаты</w:t>
      </w:r>
      <w:r w:rsidR="00614B41" w:rsidRPr="008A2F9A">
        <w:rPr>
          <w:b/>
          <w:sz w:val="20"/>
          <w:szCs w:val="20"/>
        </w:rPr>
        <w:t xml:space="preserve"> </w:t>
      </w:r>
      <w:r w:rsidRPr="008A2F9A">
        <w:rPr>
          <w:b/>
          <w:sz w:val="20"/>
          <w:szCs w:val="20"/>
        </w:rPr>
        <w:t>(Исходы)</w:t>
      </w:r>
    </w:p>
    <w:p w:rsidR="008A2F9A" w:rsidRDefault="00AA0507" w:rsidP="00AA0507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 xml:space="preserve">Смертность от всех причин определялась на основе данных файла </w:t>
      </w:r>
      <w:r w:rsidR="00380543" w:rsidRPr="008A2F9A">
        <w:rPr>
          <w:sz w:val="20"/>
          <w:szCs w:val="20"/>
        </w:rPr>
        <w:t>АВ по регистрации</w:t>
      </w:r>
      <w:r w:rsidRPr="008A2F9A">
        <w:rPr>
          <w:sz w:val="20"/>
          <w:szCs w:val="20"/>
        </w:rPr>
        <w:t xml:space="preserve"> жизненного статуса</w:t>
      </w:r>
      <w:r w:rsidR="00380543" w:rsidRPr="008A2F9A">
        <w:rPr>
          <w:sz w:val="20"/>
          <w:szCs w:val="20"/>
        </w:rPr>
        <w:t xml:space="preserve"> (VA </w:t>
      </w:r>
      <w:proofErr w:type="spellStart"/>
      <w:r w:rsidR="00380543" w:rsidRPr="008A2F9A">
        <w:rPr>
          <w:sz w:val="20"/>
          <w:szCs w:val="20"/>
        </w:rPr>
        <w:t>vital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status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file</w:t>
      </w:r>
      <w:proofErr w:type="spellEnd"/>
      <w:r w:rsidR="00380543" w:rsidRPr="008A2F9A">
        <w:rPr>
          <w:sz w:val="20"/>
          <w:szCs w:val="20"/>
        </w:rPr>
        <w:t>)</w:t>
      </w:r>
      <w:r w:rsidRPr="008A2F9A">
        <w:rPr>
          <w:sz w:val="20"/>
          <w:szCs w:val="20"/>
        </w:rPr>
        <w:t xml:space="preserve">, в котором </w:t>
      </w:r>
      <w:r w:rsidR="00C33B07" w:rsidRPr="008A2F9A">
        <w:rPr>
          <w:sz w:val="20"/>
          <w:szCs w:val="20"/>
        </w:rPr>
        <w:t>собираются</w:t>
      </w:r>
      <w:r w:rsidRPr="008A2F9A">
        <w:rPr>
          <w:sz w:val="20"/>
          <w:szCs w:val="20"/>
        </w:rPr>
        <w:t xml:space="preserve"> данные из файла АВ по регистрации смерти (BIRLS </w:t>
      </w:r>
      <w:proofErr w:type="spellStart"/>
      <w:r w:rsidRPr="008A2F9A">
        <w:rPr>
          <w:sz w:val="20"/>
          <w:szCs w:val="20"/>
        </w:rPr>
        <w:t>Death</w:t>
      </w:r>
      <w:proofErr w:type="spellEnd"/>
      <w:r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file</w:t>
      </w:r>
      <w:proofErr w:type="spellEnd"/>
      <w:r w:rsidRPr="008A2F9A">
        <w:rPr>
          <w:sz w:val="20"/>
          <w:szCs w:val="20"/>
        </w:rPr>
        <w:t xml:space="preserve">), </w:t>
      </w:r>
      <w:r w:rsidR="00380543" w:rsidRPr="008A2F9A">
        <w:rPr>
          <w:sz w:val="20"/>
          <w:szCs w:val="20"/>
        </w:rPr>
        <w:t xml:space="preserve">файла учреждений здравоохранения АВ по регистрации жизненного статуса (VA </w:t>
      </w:r>
      <w:proofErr w:type="spellStart"/>
      <w:r w:rsidR="00380543" w:rsidRPr="008A2F9A">
        <w:rPr>
          <w:sz w:val="20"/>
          <w:szCs w:val="20"/>
        </w:rPr>
        <w:t>Medicare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Vital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Status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File</w:t>
      </w:r>
      <w:proofErr w:type="spellEnd"/>
      <w:r w:rsidR="00380543" w:rsidRPr="008A2F9A">
        <w:rPr>
          <w:sz w:val="20"/>
          <w:szCs w:val="20"/>
        </w:rPr>
        <w:t>)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 xml:space="preserve">и </w:t>
      </w:r>
      <w:r w:rsidR="00380543" w:rsidRPr="008A2F9A">
        <w:rPr>
          <w:sz w:val="20"/>
          <w:szCs w:val="20"/>
        </w:rPr>
        <w:t xml:space="preserve">основного </w:t>
      </w:r>
      <w:r w:rsidRPr="008A2F9A">
        <w:rPr>
          <w:sz w:val="20"/>
          <w:szCs w:val="20"/>
        </w:rPr>
        <w:t xml:space="preserve">файла </w:t>
      </w:r>
      <w:r w:rsidR="00380543" w:rsidRPr="008A2F9A">
        <w:rPr>
          <w:sz w:val="20"/>
          <w:szCs w:val="20"/>
        </w:rPr>
        <w:t xml:space="preserve">по регистрации смерти </w:t>
      </w:r>
      <w:r w:rsidR="00157A33" w:rsidRPr="008A2F9A">
        <w:rPr>
          <w:sz w:val="20"/>
          <w:szCs w:val="20"/>
        </w:rPr>
        <w:t>системы</w:t>
      </w:r>
      <w:r w:rsidR="00380543" w:rsidRPr="008A2F9A">
        <w:rPr>
          <w:sz w:val="20"/>
          <w:szCs w:val="20"/>
        </w:rPr>
        <w:t xml:space="preserve"> социального обеспечения АВ</w:t>
      </w:r>
      <w:r w:rsidRPr="008A2F9A">
        <w:rPr>
          <w:sz w:val="20"/>
          <w:szCs w:val="20"/>
        </w:rPr>
        <w:t xml:space="preserve"> </w:t>
      </w:r>
      <w:r w:rsidR="00380543" w:rsidRPr="008A2F9A">
        <w:rPr>
          <w:sz w:val="20"/>
          <w:szCs w:val="20"/>
        </w:rPr>
        <w:t>(</w:t>
      </w:r>
      <w:proofErr w:type="spellStart"/>
      <w:r w:rsidR="00380543" w:rsidRPr="008A2F9A">
        <w:rPr>
          <w:sz w:val="20"/>
          <w:szCs w:val="20"/>
        </w:rPr>
        <w:t>Social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Security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Administration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Death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Master</w:t>
      </w:r>
      <w:proofErr w:type="spellEnd"/>
      <w:r w:rsidR="00380543" w:rsidRPr="008A2F9A">
        <w:rPr>
          <w:sz w:val="20"/>
          <w:szCs w:val="20"/>
        </w:rPr>
        <w:t xml:space="preserve"> </w:t>
      </w:r>
      <w:proofErr w:type="spellStart"/>
      <w:r w:rsidR="00380543" w:rsidRPr="008A2F9A">
        <w:rPr>
          <w:sz w:val="20"/>
          <w:szCs w:val="20"/>
        </w:rPr>
        <w:t>File</w:t>
      </w:r>
      <w:proofErr w:type="spellEnd"/>
      <w:r w:rsidR="00380543" w:rsidRPr="008A2F9A">
        <w:rPr>
          <w:sz w:val="20"/>
          <w:szCs w:val="20"/>
        </w:rPr>
        <w:t>), которые</w:t>
      </w:r>
      <w:r w:rsidR="00614B41" w:rsidRPr="008A2F9A">
        <w:rPr>
          <w:sz w:val="20"/>
          <w:szCs w:val="20"/>
        </w:rPr>
        <w:t xml:space="preserve"> </w:t>
      </w:r>
      <w:r w:rsidR="00380543" w:rsidRPr="008A2F9A">
        <w:rPr>
          <w:sz w:val="20"/>
          <w:szCs w:val="20"/>
        </w:rPr>
        <w:t xml:space="preserve">были проверены </w:t>
      </w:r>
      <w:r w:rsidRPr="008A2F9A">
        <w:rPr>
          <w:sz w:val="20"/>
          <w:szCs w:val="20"/>
        </w:rPr>
        <w:t>через 30 дней</w:t>
      </w:r>
      <w:r w:rsidRPr="008A2F9A">
        <w:rPr>
          <w:sz w:val="20"/>
          <w:szCs w:val="20"/>
          <w:vertAlign w:val="superscript"/>
        </w:rPr>
        <w:t>11</w:t>
      </w:r>
      <w:r w:rsidR="00380543" w:rsidRPr="008A2F9A">
        <w:rPr>
          <w:sz w:val="20"/>
          <w:szCs w:val="20"/>
        </w:rPr>
        <w:t>.</w:t>
      </w:r>
      <w:r w:rsidR="00614B41" w:rsidRPr="008A2F9A">
        <w:rPr>
          <w:sz w:val="20"/>
          <w:szCs w:val="20"/>
        </w:rPr>
        <w:t xml:space="preserve"> </w:t>
      </w:r>
      <w:proofErr w:type="spellStart"/>
      <w:r w:rsidRPr="008A2F9A">
        <w:rPr>
          <w:sz w:val="20"/>
          <w:szCs w:val="20"/>
        </w:rPr>
        <w:t>Пер</w:t>
      </w:r>
      <w:r w:rsidR="00380543" w:rsidRPr="008A2F9A">
        <w:rPr>
          <w:sz w:val="20"/>
          <w:szCs w:val="20"/>
        </w:rPr>
        <w:t>и</w:t>
      </w:r>
      <w:r w:rsidRPr="008A2F9A">
        <w:rPr>
          <w:sz w:val="20"/>
          <w:szCs w:val="20"/>
        </w:rPr>
        <w:t>процедурные</w:t>
      </w:r>
      <w:proofErr w:type="spellEnd"/>
      <w:r w:rsidRPr="008A2F9A">
        <w:rPr>
          <w:sz w:val="20"/>
          <w:szCs w:val="20"/>
        </w:rPr>
        <w:t xml:space="preserve"> </w:t>
      </w:r>
      <w:r w:rsidR="00380543" w:rsidRPr="008A2F9A">
        <w:rPr>
          <w:sz w:val="20"/>
          <w:szCs w:val="20"/>
        </w:rPr>
        <w:t>крупные</w:t>
      </w:r>
      <w:r w:rsidR="00614B41" w:rsidRPr="008A2F9A">
        <w:rPr>
          <w:sz w:val="20"/>
          <w:szCs w:val="20"/>
        </w:rPr>
        <w:t xml:space="preserve"> </w:t>
      </w:r>
      <w:r w:rsidRPr="008A2F9A">
        <w:rPr>
          <w:sz w:val="20"/>
          <w:szCs w:val="20"/>
        </w:rPr>
        <w:t>кровотечения определя</w:t>
      </w:r>
      <w:r w:rsidR="00380543" w:rsidRPr="008A2F9A">
        <w:rPr>
          <w:sz w:val="20"/>
          <w:szCs w:val="20"/>
        </w:rPr>
        <w:t>лись,</w:t>
      </w:r>
      <w:r w:rsidRPr="008A2F9A">
        <w:rPr>
          <w:sz w:val="20"/>
          <w:szCs w:val="20"/>
        </w:rPr>
        <w:t xml:space="preserve"> как прои</w:t>
      </w:r>
      <w:r w:rsidR="00380543" w:rsidRPr="008A2F9A">
        <w:rPr>
          <w:sz w:val="20"/>
          <w:szCs w:val="20"/>
        </w:rPr>
        <w:t>зошедшие</w:t>
      </w:r>
      <w:r w:rsidRPr="008A2F9A">
        <w:rPr>
          <w:sz w:val="20"/>
          <w:szCs w:val="20"/>
        </w:rPr>
        <w:t xml:space="preserve"> в течение трех дней </w:t>
      </w:r>
      <w:r w:rsidR="00380543" w:rsidRPr="008A2F9A">
        <w:rPr>
          <w:sz w:val="20"/>
          <w:szCs w:val="20"/>
        </w:rPr>
        <w:t xml:space="preserve">после </w:t>
      </w:r>
      <w:r w:rsidRPr="008A2F9A">
        <w:rPr>
          <w:sz w:val="20"/>
          <w:szCs w:val="20"/>
        </w:rPr>
        <w:t xml:space="preserve">ЧКВ, </w:t>
      </w:r>
      <w:r w:rsidR="00C33B07" w:rsidRPr="008A2F9A">
        <w:rPr>
          <w:sz w:val="20"/>
          <w:szCs w:val="20"/>
        </w:rPr>
        <w:t>вместе</w:t>
      </w:r>
      <w:r w:rsidRPr="008A2F9A">
        <w:rPr>
          <w:sz w:val="20"/>
          <w:szCs w:val="20"/>
        </w:rPr>
        <w:t xml:space="preserve"> с одн</w:t>
      </w:r>
      <w:r w:rsidR="00C33B07" w:rsidRPr="008A2F9A">
        <w:rPr>
          <w:sz w:val="20"/>
          <w:szCs w:val="20"/>
        </w:rPr>
        <w:t>им</w:t>
      </w:r>
      <w:r w:rsidRPr="008A2F9A">
        <w:rPr>
          <w:sz w:val="20"/>
          <w:szCs w:val="20"/>
        </w:rPr>
        <w:t xml:space="preserve"> из следующ</w:t>
      </w:r>
      <w:r w:rsidR="00C33B07" w:rsidRPr="008A2F9A">
        <w:rPr>
          <w:sz w:val="20"/>
          <w:szCs w:val="20"/>
        </w:rPr>
        <w:t>его</w:t>
      </w:r>
      <w:r w:rsidR="00380543" w:rsidRPr="008A2F9A">
        <w:rPr>
          <w:sz w:val="20"/>
          <w:szCs w:val="20"/>
        </w:rPr>
        <w:t>: 1)</w:t>
      </w:r>
      <w:r w:rsidRPr="008A2F9A">
        <w:rPr>
          <w:sz w:val="20"/>
          <w:szCs w:val="20"/>
        </w:rPr>
        <w:t xml:space="preserve"> </w:t>
      </w:r>
      <w:r w:rsidR="00380543" w:rsidRPr="008A2F9A">
        <w:rPr>
          <w:sz w:val="20"/>
          <w:szCs w:val="20"/>
        </w:rPr>
        <w:t>произошедшие</w:t>
      </w:r>
      <w:r w:rsidRPr="008A2F9A">
        <w:rPr>
          <w:sz w:val="20"/>
          <w:szCs w:val="20"/>
        </w:rPr>
        <w:t xml:space="preserve"> в </w:t>
      </w:r>
      <w:r w:rsidR="00380543" w:rsidRPr="008A2F9A">
        <w:rPr>
          <w:sz w:val="20"/>
          <w:szCs w:val="20"/>
        </w:rPr>
        <w:t>жизненно важном</w:t>
      </w:r>
      <w:r w:rsidRPr="008A2F9A">
        <w:rPr>
          <w:sz w:val="20"/>
          <w:szCs w:val="20"/>
        </w:rPr>
        <w:t xml:space="preserve"> органе, </w:t>
      </w:r>
      <w:r w:rsidR="00CA7F83" w:rsidRPr="008A2F9A">
        <w:rPr>
          <w:sz w:val="20"/>
          <w:szCs w:val="20"/>
        </w:rPr>
        <w:t>регистрируемые при</w:t>
      </w:r>
      <w:r w:rsidRPr="008A2F9A">
        <w:rPr>
          <w:sz w:val="20"/>
          <w:szCs w:val="20"/>
        </w:rPr>
        <w:t xml:space="preserve"> </w:t>
      </w:r>
      <w:r w:rsidR="00CA7F83" w:rsidRPr="008A2F9A">
        <w:rPr>
          <w:sz w:val="20"/>
          <w:szCs w:val="20"/>
        </w:rPr>
        <w:t>учётной госпитализации</w:t>
      </w:r>
      <w:r w:rsidRPr="008A2F9A">
        <w:rPr>
          <w:sz w:val="20"/>
          <w:szCs w:val="20"/>
        </w:rPr>
        <w:t xml:space="preserve">, 2) </w:t>
      </w:r>
      <w:r w:rsidR="00CA7F83" w:rsidRPr="008A2F9A">
        <w:rPr>
          <w:sz w:val="20"/>
          <w:szCs w:val="20"/>
        </w:rPr>
        <w:t>падение уровня</w:t>
      </w:r>
      <w:r w:rsidRPr="008A2F9A">
        <w:rPr>
          <w:sz w:val="20"/>
          <w:szCs w:val="20"/>
        </w:rPr>
        <w:t xml:space="preserve"> гемоглобина </w:t>
      </w:r>
      <w:r w:rsidR="00C33B07" w:rsidRPr="008A2F9A">
        <w:rPr>
          <w:sz w:val="20"/>
          <w:szCs w:val="20"/>
        </w:rPr>
        <w:t>на</w:t>
      </w:r>
      <w:r w:rsidR="00CA7F83" w:rsidRPr="008A2F9A">
        <w:rPr>
          <w:sz w:val="20"/>
          <w:szCs w:val="20"/>
        </w:rPr>
        <w:t xml:space="preserve"> 2+ г/дл</w:t>
      </w:r>
      <w:r w:rsidR="00C33B07" w:rsidRPr="008A2F9A">
        <w:rPr>
          <w:sz w:val="20"/>
          <w:szCs w:val="20"/>
        </w:rPr>
        <w:t>.</w:t>
      </w:r>
      <w:r w:rsidR="00CA7F83" w:rsidRPr="008A2F9A">
        <w:rPr>
          <w:sz w:val="20"/>
          <w:szCs w:val="20"/>
        </w:rPr>
        <w:t xml:space="preserve"> или </w:t>
      </w:r>
      <w:r w:rsidRPr="008A2F9A">
        <w:rPr>
          <w:sz w:val="20"/>
          <w:szCs w:val="20"/>
        </w:rPr>
        <w:t>3) люб</w:t>
      </w:r>
      <w:r w:rsidR="00CA7F83" w:rsidRPr="008A2F9A">
        <w:rPr>
          <w:sz w:val="20"/>
          <w:szCs w:val="20"/>
        </w:rPr>
        <w:t>ое</w:t>
      </w:r>
      <w:r w:rsidR="00C33B07" w:rsidRPr="008A2F9A">
        <w:rPr>
          <w:sz w:val="20"/>
          <w:szCs w:val="20"/>
        </w:rPr>
        <w:t xml:space="preserve"> кровотечение</w:t>
      </w:r>
      <w:r w:rsidR="00CA7F83" w:rsidRPr="008A2F9A">
        <w:rPr>
          <w:sz w:val="20"/>
          <w:szCs w:val="20"/>
        </w:rPr>
        <w:t>,</w:t>
      </w:r>
      <w:r w:rsidRPr="008A2F9A">
        <w:rPr>
          <w:sz w:val="20"/>
          <w:szCs w:val="20"/>
        </w:rPr>
        <w:t xml:space="preserve"> требу</w:t>
      </w:r>
      <w:r w:rsidR="00CA7F83" w:rsidRPr="008A2F9A">
        <w:rPr>
          <w:sz w:val="20"/>
          <w:szCs w:val="20"/>
        </w:rPr>
        <w:t>ющее</w:t>
      </w:r>
      <w:r w:rsidRPr="008A2F9A">
        <w:rPr>
          <w:sz w:val="20"/>
          <w:szCs w:val="20"/>
        </w:rPr>
        <w:t xml:space="preserve"> </w:t>
      </w:r>
      <w:r w:rsidR="00CA7F83" w:rsidRPr="008A2F9A">
        <w:rPr>
          <w:sz w:val="20"/>
          <w:szCs w:val="20"/>
        </w:rPr>
        <w:t xml:space="preserve">переливания </w:t>
      </w:r>
      <w:r w:rsidRPr="008A2F9A">
        <w:rPr>
          <w:sz w:val="20"/>
          <w:szCs w:val="20"/>
        </w:rPr>
        <w:t>кров</w:t>
      </w:r>
      <w:r w:rsidR="00CA7F83" w:rsidRPr="008A2F9A">
        <w:rPr>
          <w:sz w:val="20"/>
          <w:szCs w:val="20"/>
        </w:rPr>
        <w:t>и</w:t>
      </w:r>
      <w:r w:rsidRPr="008A2F9A">
        <w:rPr>
          <w:sz w:val="20"/>
          <w:szCs w:val="20"/>
        </w:rPr>
        <w:t xml:space="preserve"> </w:t>
      </w:r>
      <w:r w:rsidR="00CA7F83" w:rsidRPr="008A2F9A">
        <w:rPr>
          <w:sz w:val="20"/>
          <w:szCs w:val="20"/>
        </w:rPr>
        <w:t>(Д</w:t>
      </w:r>
      <w:r w:rsidRPr="008A2F9A">
        <w:rPr>
          <w:sz w:val="20"/>
          <w:szCs w:val="20"/>
        </w:rPr>
        <w:t>ополн</w:t>
      </w:r>
      <w:r w:rsidR="00CA7F83" w:rsidRPr="008A2F9A">
        <w:rPr>
          <w:sz w:val="20"/>
          <w:szCs w:val="20"/>
        </w:rPr>
        <w:t>ительное приложение,</w:t>
      </w:r>
      <w:r w:rsidRPr="008A2F9A">
        <w:rPr>
          <w:sz w:val="20"/>
          <w:szCs w:val="20"/>
        </w:rPr>
        <w:t xml:space="preserve"> Таблица</w:t>
      </w:r>
      <w:r w:rsidR="00CA7F83" w:rsidRPr="008A2F9A">
        <w:rPr>
          <w:sz w:val="20"/>
          <w:szCs w:val="20"/>
        </w:rPr>
        <w:t xml:space="preserve"> 2)</w:t>
      </w:r>
      <w:r w:rsidR="00CA7F83" w:rsidRPr="008A2F9A">
        <w:rPr>
          <w:sz w:val="20"/>
          <w:szCs w:val="20"/>
          <w:vertAlign w:val="superscript"/>
        </w:rPr>
        <w:t>12</w:t>
      </w:r>
      <w:r w:rsidR="008A2F9A">
        <w:rPr>
          <w:sz w:val="20"/>
          <w:szCs w:val="20"/>
        </w:rPr>
        <w:t>.</w:t>
      </w:r>
    </w:p>
    <w:p w:rsidR="008A2F9A" w:rsidRDefault="008A2F9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0507" w:rsidRPr="008A2F9A" w:rsidRDefault="00C33B07" w:rsidP="00AA0507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lastRenderedPageBreak/>
        <w:t>Исходы</w:t>
      </w:r>
      <w:r w:rsidR="00AA0507" w:rsidRPr="008A2F9A">
        <w:rPr>
          <w:sz w:val="20"/>
          <w:szCs w:val="20"/>
        </w:rPr>
        <w:t xml:space="preserve"> оценивались только </w:t>
      </w:r>
      <w:r w:rsidRPr="008A2F9A">
        <w:rPr>
          <w:sz w:val="20"/>
          <w:szCs w:val="20"/>
        </w:rPr>
        <w:t xml:space="preserve">по отношению к </w:t>
      </w:r>
      <w:proofErr w:type="spellStart"/>
      <w:r w:rsidR="00211EBA" w:rsidRPr="008A2F9A">
        <w:rPr>
          <w:sz w:val="20"/>
          <w:szCs w:val="20"/>
        </w:rPr>
        <w:t>перипроцедуральному</w:t>
      </w:r>
      <w:proofErr w:type="spellEnd"/>
      <w:r w:rsidR="00211EBA" w:rsidRPr="008A2F9A">
        <w:rPr>
          <w:sz w:val="20"/>
          <w:szCs w:val="20"/>
        </w:rPr>
        <w:t xml:space="preserve"> использованию</w:t>
      </w:r>
      <w:r w:rsidR="00614B41" w:rsidRPr="008A2F9A">
        <w:rPr>
          <w:sz w:val="20"/>
          <w:szCs w:val="20"/>
        </w:rPr>
        <w:t xml:space="preserve"> </w:t>
      </w:r>
      <w:r w:rsidR="00211EBA" w:rsidRPr="008A2F9A">
        <w:rPr>
          <w:sz w:val="20"/>
          <w:szCs w:val="20"/>
        </w:rPr>
        <w:t xml:space="preserve">лекарственных </w:t>
      </w:r>
      <w:r w:rsidR="00AA0507" w:rsidRPr="008A2F9A">
        <w:rPr>
          <w:sz w:val="20"/>
          <w:szCs w:val="20"/>
        </w:rPr>
        <w:t>препаратов</w:t>
      </w:r>
      <w:r w:rsidR="00C82717" w:rsidRPr="008A2F9A">
        <w:rPr>
          <w:sz w:val="20"/>
          <w:szCs w:val="20"/>
        </w:rPr>
        <w:t>,</w:t>
      </w:r>
      <w:r w:rsidR="00AA0507" w:rsidRPr="008A2F9A">
        <w:rPr>
          <w:sz w:val="20"/>
          <w:szCs w:val="20"/>
        </w:rPr>
        <w:t xml:space="preserve"> поскольку количество пациентов, получавших противопоказанные лекарств</w:t>
      </w:r>
      <w:r w:rsidR="00C82717" w:rsidRPr="008A2F9A">
        <w:rPr>
          <w:sz w:val="20"/>
          <w:szCs w:val="20"/>
        </w:rPr>
        <w:t>енные препараты</w:t>
      </w:r>
      <w:r w:rsidR="00AA0507" w:rsidRPr="008A2F9A">
        <w:rPr>
          <w:sz w:val="20"/>
          <w:szCs w:val="20"/>
        </w:rPr>
        <w:t xml:space="preserve"> при выписке, было недостаточным для </w:t>
      </w:r>
      <w:r w:rsidR="00C82717" w:rsidRPr="008A2F9A">
        <w:rPr>
          <w:sz w:val="20"/>
          <w:szCs w:val="20"/>
        </w:rPr>
        <w:t>проведения анализа,</w:t>
      </w:r>
      <w:r w:rsidR="00AA0507" w:rsidRPr="008A2F9A">
        <w:rPr>
          <w:sz w:val="20"/>
          <w:szCs w:val="20"/>
        </w:rPr>
        <w:t xml:space="preserve"> </w:t>
      </w:r>
      <w:r w:rsidR="00C82717" w:rsidRPr="008A2F9A">
        <w:rPr>
          <w:sz w:val="20"/>
          <w:szCs w:val="20"/>
        </w:rPr>
        <w:t>скорректированного с поправкой на риск</w:t>
      </w:r>
      <w:r w:rsidR="00AA0507" w:rsidRPr="008A2F9A">
        <w:rPr>
          <w:sz w:val="20"/>
          <w:szCs w:val="20"/>
        </w:rPr>
        <w:t>.</w:t>
      </w:r>
    </w:p>
    <w:p w:rsidR="003347AC" w:rsidRPr="008A2F9A" w:rsidRDefault="003347AC" w:rsidP="003347AC">
      <w:pPr>
        <w:spacing w:after="120"/>
        <w:jc w:val="both"/>
        <w:rPr>
          <w:b/>
          <w:sz w:val="20"/>
          <w:szCs w:val="20"/>
        </w:rPr>
      </w:pPr>
      <w:proofErr w:type="spellStart"/>
      <w:r w:rsidRPr="008A2F9A">
        <w:rPr>
          <w:b/>
          <w:sz w:val="20"/>
          <w:szCs w:val="20"/>
        </w:rPr>
        <w:t>Ковариаты</w:t>
      </w:r>
      <w:proofErr w:type="spellEnd"/>
      <w:r w:rsidRPr="008A2F9A">
        <w:rPr>
          <w:b/>
          <w:sz w:val="20"/>
          <w:szCs w:val="20"/>
        </w:rPr>
        <w:t xml:space="preserve"> (независимые переменные)</w:t>
      </w:r>
    </w:p>
    <w:p w:rsidR="003347AC" w:rsidRDefault="003347AC" w:rsidP="00AA0507">
      <w:pPr>
        <w:spacing w:after="240"/>
        <w:jc w:val="both"/>
        <w:rPr>
          <w:sz w:val="20"/>
          <w:szCs w:val="20"/>
        </w:rPr>
      </w:pPr>
      <w:r w:rsidRPr="008A2F9A">
        <w:rPr>
          <w:sz w:val="20"/>
          <w:szCs w:val="20"/>
        </w:rPr>
        <w:t xml:space="preserve">Авторы </w:t>
      </w:r>
      <w:r w:rsidR="00211EBA" w:rsidRPr="008A2F9A">
        <w:rPr>
          <w:sz w:val="20"/>
          <w:szCs w:val="20"/>
        </w:rPr>
        <w:t>оценивали</w:t>
      </w:r>
      <w:r w:rsidRPr="008A2F9A">
        <w:rPr>
          <w:sz w:val="20"/>
          <w:szCs w:val="20"/>
        </w:rPr>
        <w:t xml:space="preserve"> демографически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показател</w:t>
      </w:r>
      <w:r w:rsidR="00211EBA" w:rsidRPr="008A2F9A">
        <w:rPr>
          <w:sz w:val="20"/>
          <w:szCs w:val="20"/>
        </w:rPr>
        <w:t>и</w:t>
      </w:r>
      <w:r w:rsidRPr="008A2F9A">
        <w:rPr>
          <w:sz w:val="20"/>
          <w:szCs w:val="20"/>
        </w:rPr>
        <w:t xml:space="preserve"> пациентов, клинически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сопутствующи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заболевани</w:t>
      </w:r>
      <w:r w:rsidR="00211EBA" w:rsidRPr="008A2F9A">
        <w:rPr>
          <w:sz w:val="20"/>
          <w:szCs w:val="20"/>
        </w:rPr>
        <w:t>я</w:t>
      </w:r>
      <w:r w:rsidRPr="008A2F9A">
        <w:rPr>
          <w:sz w:val="20"/>
          <w:szCs w:val="20"/>
        </w:rPr>
        <w:t>, предшествующи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сердечны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процедур</w:t>
      </w:r>
      <w:r w:rsidR="00211EBA" w:rsidRPr="008A2F9A">
        <w:rPr>
          <w:sz w:val="20"/>
          <w:szCs w:val="20"/>
        </w:rPr>
        <w:t>ы</w:t>
      </w:r>
      <w:r w:rsidRPr="008A2F9A">
        <w:rPr>
          <w:sz w:val="20"/>
          <w:szCs w:val="20"/>
        </w:rPr>
        <w:t xml:space="preserve"> и острот</w:t>
      </w:r>
      <w:r w:rsidR="00211EBA" w:rsidRPr="008A2F9A">
        <w:rPr>
          <w:sz w:val="20"/>
          <w:szCs w:val="20"/>
        </w:rPr>
        <w:t>у</w:t>
      </w:r>
      <w:r w:rsidRPr="008A2F9A">
        <w:rPr>
          <w:sz w:val="20"/>
          <w:szCs w:val="20"/>
        </w:rPr>
        <w:t xml:space="preserve"> клинических проявлений </w:t>
      </w:r>
      <w:r w:rsidR="003D5056" w:rsidRPr="008A2F9A">
        <w:rPr>
          <w:sz w:val="20"/>
          <w:szCs w:val="20"/>
        </w:rPr>
        <w:t>на основе данных программы</w:t>
      </w:r>
      <w:r w:rsidR="00211EBA" w:rsidRPr="008A2F9A">
        <w:rPr>
          <w:sz w:val="20"/>
          <w:szCs w:val="20"/>
        </w:rPr>
        <w:t xml:space="preserve"> АВ</w:t>
      </w:r>
      <w:r w:rsidR="00614B41" w:rsidRPr="008A2F9A">
        <w:rPr>
          <w:sz w:val="20"/>
          <w:szCs w:val="20"/>
        </w:rPr>
        <w:t xml:space="preserve"> </w:t>
      </w:r>
      <w:r w:rsidR="003D5056" w:rsidRPr="008A2F9A">
        <w:rPr>
          <w:sz w:val="20"/>
          <w:szCs w:val="20"/>
        </w:rPr>
        <w:t>«VA CART»</w:t>
      </w:r>
      <w:r w:rsidR="00211EBA" w:rsidRPr="008A2F9A">
        <w:rPr>
          <w:sz w:val="20"/>
          <w:szCs w:val="20"/>
        </w:rPr>
        <w:t xml:space="preserve">, </w:t>
      </w:r>
      <w:r w:rsidR="003D6B2F" w:rsidRPr="008A2F9A">
        <w:rPr>
          <w:sz w:val="20"/>
          <w:szCs w:val="20"/>
        </w:rPr>
        <w:t>и</w:t>
      </w:r>
      <w:r w:rsidRPr="008A2F9A">
        <w:rPr>
          <w:sz w:val="20"/>
          <w:szCs w:val="20"/>
        </w:rPr>
        <w:t xml:space="preserve"> административны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данны</w:t>
      </w:r>
      <w:r w:rsidR="00211EBA" w:rsidRPr="008A2F9A">
        <w:rPr>
          <w:sz w:val="20"/>
          <w:szCs w:val="20"/>
        </w:rPr>
        <w:t>е</w:t>
      </w:r>
      <w:r w:rsidRPr="008A2F9A">
        <w:rPr>
          <w:sz w:val="20"/>
          <w:szCs w:val="20"/>
        </w:rPr>
        <w:t xml:space="preserve"> с использованием стандартных определений. Пред</w:t>
      </w:r>
      <w:r w:rsidR="00211EBA" w:rsidRPr="008A2F9A">
        <w:rPr>
          <w:sz w:val="20"/>
          <w:szCs w:val="20"/>
        </w:rPr>
        <w:t>шествующее</w:t>
      </w:r>
      <w:r w:rsidRPr="008A2F9A">
        <w:rPr>
          <w:sz w:val="20"/>
          <w:szCs w:val="20"/>
        </w:rPr>
        <w:t xml:space="preserve"> крупное кровотечение определялось на основе кодов ICD9-CM в электронной медицинской карте </w:t>
      </w:r>
      <w:r w:rsidR="00211EBA" w:rsidRPr="008A2F9A">
        <w:rPr>
          <w:sz w:val="20"/>
          <w:szCs w:val="20"/>
        </w:rPr>
        <w:t xml:space="preserve">по записи </w:t>
      </w:r>
      <w:r w:rsidRPr="008A2F9A">
        <w:rPr>
          <w:sz w:val="20"/>
          <w:szCs w:val="20"/>
        </w:rPr>
        <w:t>до процедуры (</w:t>
      </w:r>
      <w:r w:rsidR="003D5056" w:rsidRPr="008A2F9A">
        <w:rPr>
          <w:sz w:val="20"/>
          <w:szCs w:val="20"/>
        </w:rPr>
        <w:t>Дополнительное приложение, Таблица 2</w:t>
      </w:r>
      <w:r w:rsidRPr="008A2F9A">
        <w:rPr>
          <w:sz w:val="20"/>
          <w:szCs w:val="20"/>
        </w:rPr>
        <w:t>). Оценка риска кровотечения была основана на</w:t>
      </w:r>
      <w:r w:rsidR="003D5056" w:rsidRPr="008A2F9A">
        <w:rPr>
          <w:sz w:val="20"/>
          <w:szCs w:val="20"/>
        </w:rPr>
        <w:t xml:space="preserve"> модели риска кровотечения согласно Национальному регистру сердечно-сосудистых заболеваний (NCDR)</w:t>
      </w:r>
      <w:r w:rsidRPr="008A2F9A">
        <w:rPr>
          <w:sz w:val="20"/>
          <w:szCs w:val="20"/>
          <w:vertAlign w:val="superscript"/>
        </w:rPr>
        <w:t>13</w:t>
      </w:r>
      <w:r w:rsidR="003D5056" w:rsidRPr="008A2F9A">
        <w:rPr>
          <w:sz w:val="20"/>
          <w:szCs w:val="20"/>
        </w:rPr>
        <w:t>.</w:t>
      </w:r>
      <w:r w:rsidRPr="008A2F9A">
        <w:rPr>
          <w:sz w:val="20"/>
          <w:szCs w:val="20"/>
        </w:rPr>
        <w:t xml:space="preserve"> </w:t>
      </w:r>
      <w:r w:rsidR="003D5056" w:rsidRPr="008A2F9A">
        <w:rPr>
          <w:sz w:val="20"/>
          <w:szCs w:val="20"/>
        </w:rPr>
        <w:t>Указания на р</w:t>
      </w:r>
      <w:r w:rsidRPr="008A2F9A">
        <w:rPr>
          <w:sz w:val="20"/>
          <w:szCs w:val="20"/>
        </w:rPr>
        <w:t>ас</w:t>
      </w:r>
      <w:r w:rsidR="003D5056" w:rsidRPr="008A2F9A">
        <w:rPr>
          <w:sz w:val="20"/>
          <w:szCs w:val="20"/>
        </w:rPr>
        <w:t>у</w:t>
      </w:r>
      <w:r w:rsidRPr="008A2F9A">
        <w:rPr>
          <w:sz w:val="20"/>
          <w:szCs w:val="20"/>
        </w:rPr>
        <w:t xml:space="preserve"> и/или этническ</w:t>
      </w:r>
      <w:r w:rsidR="003D5056" w:rsidRPr="008A2F9A">
        <w:rPr>
          <w:sz w:val="20"/>
          <w:szCs w:val="20"/>
        </w:rPr>
        <w:t>ую</w:t>
      </w:r>
      <w:r w:rsidRPr="008A2F9A">
        <w:rPr>
          <w:sz w:val="20"/>
          <w:szCs w:val="20"/>
        </w:rPr>
        <w:t xml:space="preserve"> принадлежность отсутствовали </w:t>
      </w:r>
      <w:r w:rsidR="003D5056" w:rsidRPr="008A2F9A">
        <w:rPr>
          <w:sz w:val="20"/>
          <w:szCs w:val="20"/>
        </w:rPr>
        <w:t xml:space="preserve">примерно в 5% от </w:t>
      </w:r>
      <w:r w:rsidR="00211EBA" w:rsidRPr="008A2F9A">
        <w:rPr>
          <w:sz w:val="20"/>
          <w:szCs w:val="20"/>
        </w:rPr>
        <w:t xml:space="preserve">всей </w:t>
      </w:r>
      <w:r w:rsidRPr="008A2F9A">
        <w:rPr>
          <w:sz w:val="20"/>
          <w:szCs w:val="20"/>
        </w:rPr>
        <w:t xml:space="preserve">когорты. Отсутствующие значения для этих </w:t>
      </w:r>
      <w:proofErr w:type="spellStart"/>
      <w:r w:rsidRPr="008A2F9A">
        <w:rPr>
          <w:sz w:val="20"/>
          <w:szCs w:val="20"/>
        </w:rPr>
        <w:t>ковариат</w:t>
      </w:r>
      <w:proofErr w:type="spellEnd"/>
      <w:r w:rsidRPr="008A2F9A">
        <w:rPr>
          <w:sz w:val="20"/>
          <w:szCs w:val="20"/>
        </w:rPr>
        <w:t xml:space="preserve"> были </w:t>
      </w:r>
      <w:r w:rsidR="003D5056" w:rsidRPr="008A2F9A">
        <w:rPr>
          <w:sz w:val="20"/>
          <w:szCs w:val="20"/>
        </w:rPr>
        <w:t>рассчитаны</w:t>
      </w:r>
      <w:r w:rsidRPr="008A2F9A">
        <w:rPr>
          <w:sz w:val="20"/>
          <w:szCs w:val="20"/>
        </w:rPr>
        <w:t xml:space="preserve"> с использованием методов регрессии.</w:t>
      </w:r>
    </w:p>
    <w:p w:rsidR="004655C5" w:rsidRDefault="004655C5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Статистический анализ</w:t>
      </w:r>
    </w:p>
    <w:p w:rsidR="004655C5" w:rsidRDefault="00E9050E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Среди всех пациентов, которым проводили ЧКВ, мы сначала определили пациентов, которым проводили ЧКВ, и у которых имелось хотя бы одно противопоказание к применению распространенных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препаратов. </w:t>
      </w:r>
      <w:r w:rsidR="00D15D35">
        <w:rPr>
          <w:sz w:val="20"/>
          <w:szCs w:val="20"/>
        </w:rPr>
        <w:t xml:space="preserve">В группе пациентов с противопоказаниями к приему медицинских препаратов мы сравнили демографические показатели и клинические характеристики пациентов, которые получали противопоказанный медицинский препарат, и пациентов, которые НЕ получали, </w:t>
      </w:r>
      <w:r w:rsidR="00D15D35" w:rsidRPr="00D15D35">
        <w:rPr>
          <w:sz w:val="20"/>
          <w:szCs w:val="20"/>
        </w:rPr>
        <w:t>противопоказанный медицинский препарат</w:t>
      </w:r>
      <w:r w:rsidR="00D15D35">
        <w:rPr>
          <w:sz w:val="20"/>
          <w:szCs w:val="20"/>
        </w:rPr>
        <w:t>.</w:t>
      </w:r>
      <w:r w:rsidR="00521D84">
        <w:rPr>
          <w:sz w:val="20"/>
          <w:szCs w:val="20"/>
        </w:rPr>
        <w:t xml:space="preserve"> Для</w:t>
      </w:r>
      <w:r w:rsidR="00042B05">
        <w:rPr>
          <w:sz w:val="20"/>
          <w:szCs w:val="20"/>
        </w:rPr>
        <w:t xml:space="preserve"> </w:t>
      </w:r>
      <w:r w:rsidR="00521D84">
        <w:rPr>
          <w:sz w:val="20"/>
          <w:szCs w:val="20"/>
        </w:rPr>
        <w:t xml:space="preserve">сравнения использовали критерии хи-квадрат для категориальных переменных и </w:t>
      </w:r>
      <w:r w:rsidR="00042B05">
        <w:rPr>
          <w:sz w:val="20"/>
          <w:szCs w:val="20"/>
        </w:rPr>
        <w:t xml:space="preserve">непараметрический </w:t>
      </w:r>
      <w:r w:rsidR="00042B05">
        <w:rPr>
          <w:sz w:val="20"/>
          <w:szCs w:val="20"/>
          <w:lang w:val="en-US"/>
        </w:rPr>
        <w:t>U</w:t>
      </w:r>
      <w:r w:rsidR="00042B05" w:rsidRPr="00042B05">
        <w:rPr>
          <w:sz w:val="20"/>
          <w:szCs w:val="20"/>
        </w:rPr>
        <w:t>-</w:t>
      </w:r>
      <w:r w:rsidR="00042B05">
        <w:rPr>
          <w:sz w:val="20"/>
          <w:szCs w:val="20"/>
        </w:rPr>
        <w:t>критерий Манна-Уитни для непрерывных переменных. Мы также оценили совокупную частоту исходов в конце периода наблюдения (3 дня для кровотечения в ходе процедуры и 30 дней для смертности) среди пациентов, у которых имелось хотя бы одно противопоказание для приема препарата</w:t>
      </w:r>
      <w:r w:rsidR="0014743D">
        <w:rPr>
          <w:sz w:val="20"/>
          <w:szCs w:val="20"/>
        </w:rPr>
        <w:t>, с разделением по получаемым препаратам и провели сравнение с помощью критерия Грея, при этом риск летального исхода сравнивался с риском кровотечения.</w:t>
      </w:r>
    </w:p>
    <w:p w:rsidR="001E6FD3" w:rsidRDefault="0014743D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="003D71C7">
        <w:rPr>
          <w:sz w:val="20"/>
          <w:szCs w:val="20"/>
        </w:rPr>
        <w:t>корректирования</w:t>
      </w:r>
      <w:r>
        <w:rPr>
          <w:sz w:val="20"/>
          <w:szCs w:val="20"/>
        </w:rPr>
        <w:t xml:space="preserve"> отличий в исходном риске кровотечения и летального исхода между пациентами, которые получали и не получали противопоказанные препараты, </w:t>
      </w:r>
      <w:r w:rsidR="003D71C7">
        <w:rPr>
          <w:sz w:val="20"/>
          <w:szCs w:val="20"/>
        </w:rPr>
        <w:t>скорректированные</w:t>
      </w:r>
      <w:r>
        <w:rPr>
          <w:sz w:val="20"/>
          <w:szCs w:val="20"/>
        </w:rPr>
        <w:t xml:space="preserve"> исходы оценивались с помощью трех подгрупп пациентов с одинаковыми противопоказаниями к приему конкретного </w:t>
      </w:r>
      <w:proofErr w:type="spellStart"/>
      <w:r>
        <w:rPr>
          <w:sz w:val="20"/>
          <w:szCs w:val="20"/>
        </w:rPr>
        <w:t>антитромбоцитарного</w:t>
      </w:r>
      <w:proofErr w:type="spellEnd"/>
      <w:r>
        <w:rPr>
          <w:sz w:val="20"/>
          <w:szCs w:val="20"/>
        </w:rPr>
        <w:t xml:space="preserve"> препарата. Для этого анализа мы выбрали три подгруппы с достаточным размером выборки, исходя из проведенных нами описательных анализов: (1) пациенты с противопоказаниями к приему </w:t>
      </w:r>
      <w:proofErr w:type="spellStart"/>
      <w:r w:rsidR="001E6FD3">
        <w:rPr>
          <w:sz w:val="20"/>
          <w:szCs w:val="20"/>
        </w:rPr>
        <w:t>абциксимаба</w:t>
      </w:r>
      <w:proofErr w:type="spellEnd"/>
      <w:r w:rsidR="001E6FD3">
        <w:rPr>
          <w:sz w:val="20"/>
          <w:szCs w:val="20"/>
        </w:rPr>
        <w:t xml:space="preserve"> из-за инсульта в течение последних двух лет (</w:t>
      </w:r>
      <w:r w:rsidR="001E6FD3">
        <w:rPr>
          <w:sz w:val="20"/>
          <w:szCs w:val="20"/>
          <w:lang w:val="en-US"/>
        </w:rPr>
        <w:t>N</w:t>
      </w:r>
      <w:r w:rsidR="001E6FD3" w:rsidRPr="001E6FD3">
        <w:rPr>
          <w:sz w:val="20"/>
          <w:szCs w:val="20"/>
        </w:rPr>
        <w:t xml:space="preserve"> = </w:t>
      </w:r>
      <w:r w:rsidR="001E6FD3">
        <w:rPr>
          <w:sz w:val="20"/>
          <w:szCs w:val="20"/>
        </w:rPr>
        <w:t xml:space="preserve">2614), (2) пациенты с противопоказаниями к приему </w:t>
      </w:r>
      <w:proofErr w:type="spellStart"/>
      <w:r w:rsidR="001E6FD3">
        <w:rPr>
          <w:sz w:val="20"/>
          <w:szCs w:val="20"/>
        </w:rPr>
        <w:t>абциксимаба</w:t>
      </w:r>
      <w:proofErr w:type="spellEnd"/>
      <w:r w:rsidR="001E6FD3">
        <w:rPr>
          <w:sz w:val="20"/>
          <w:szCs w:val="20"/>
        </w:rPr>
        <w:t xml:space="preserve"> из-за тромбоцитопении (</w:t>
      </w:r>
      <w:r w:rsidR="001E6FD3">
        <w:rPr>
          <w:sz w:val="20"/>
          <w:szCs w:val="20"/>
          <w:lang w:val="en-US"/>
        </w:rPr>
        <w:t>N</w:t>
      </w:r>
      <w:r w:rsidR="001E6FD3" w:rsidRPr="001E6FD3">
        <w:rPr>
          <w:sz w:val="20"/>
          <w:szCs w:val="20"/>
        </w:rPr>
        <w:t xml:space="preserve"> = </w:t>
      </w:r>
      <w:r w:rsidR="001E6FD3">
        <w:rPr>
          <w:sz w:val="20"/>
          <w:szCs w:val="20"/>
        </w:rPr>
        <w:t xml:space="preserve">3154) и (3) пациенты мужского пола с противопоказаниями к приему </w:t>
      </w:r>
      <w:proofErr w:type="spellStart"/>
      <w:r w:rsidR="001E6FD3">
        <w:rPr>
          <w:sz w:val="20"/>
          <w:szCs w:val="20"/>
        </w:rPr>
        <w:t>эптифибатида</w:t>
      </w:r>
      <w:proofErr w:type="spellEnd"/>
      <w:r w:rsidR="001E6FD3">
        <w:rPr>
          <w:sz w:val="20"/>
          <w:szCs w:val="20"/>
        </w:rPr>
        <w:t xml:space="preserve"> из-за диализа (</w:t>
      </w:r>
      <w:r w:rsidR="001E6FD3">
        <w:rPr>
          <w:sz w:val="20"/>
          <w:szCs w:val="20"/>
          <w:lang w:val="en-US"/>
        </w:rPr>
        <w:t>N</w:t>
      </w:r>
      <w:r w:rsidR="001E6FD3" w:rsidRPr="001E6FD3">
        <w:rPr>
          <w:sz w:val="20"/>
          <w:szCs w:val="20"/>
        </w:rPr>
        <w:t xml:space="preserve"> = </w:t>
      </w:r>
      <w:r w:rsidR="001E6FD3">
        <w:rPr>
          <w:sz w:val="20"/>
          <w:szCs w:val="20"/>
        </w:rPr>
        <w:t>1704). Мы исключили женщин (</w:t>
      </w:r>
      <w:r w:rsidR="001E6FD3">
        <w:rPr>
          <w:sz w:val="20"/>
          <w:szCs w:val="20"/>
          <w:lang w:val="en-US"/>
        </w:rPr>
        <w:t>N</w:t>
      </w:r>
      <w:r w:rsidR="001E6FD3" w:rsidRPr="001E6FD3">
        <w:rPr>
          <w:sz w:val="20"/>
          <w:szCs w:val="20"/>
        </w:rPr>
        <w:t xml:space="preserve"> = </w:t>
      </w:r>
      <w:r w:rsidR="001E6FD3">
        <w:rPr>
          <w:sz w:val="20"/>
          <w:szCs w:val="20"/>
        </w:rPr>
        <w:t xml:space="preserve">21) из подгруппы пациентов с противопоказаниями к приему </w:t>
      </w:r>
      <w:proofErr w:type="spellStart"/>
      <w:r w:rsidR="001E6FD3">
        <w:rPr>
          <w:sz w:val="20"/>
          <w:szCs w:val="20"/>
        </w:rPr>
        <w:t>эптифибатида</w:t>
      </w:r>
      <w:proofErr w:type="spellEnd"/>
      <w:r w:rsidR="001E6FD3">
        <w:rPr>
          <w:sz w:val="20"/>
          <w:szCs w:val="20"/>
        </w:rPr>
        <w:t>, т. к. в этой подгруппе женщины не получали противопоказанный препарат.</w:t>
      </w:r>
    </w:p>
    <w:p w:rsidR="0014743D" w:rsidRDefault="001E6FD3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каждой группе мы оценили предрасположенность к приему противопоказанного препарата с помощью бинарной логической регрессионной модели с </w:t>
      </w:r>
      <w:r w:rsidR="00D364FB">
        <w:rPr>
          <w:sz w:val="20"/>
          <w:szCs w:val="20"/>
        </w:rPr>
        <w:t xml:space="preserve">независимыми переменными для диабета, </w:t>
      </w:r>
      <w:proofErr w:type="spellStart"/>
      <w:r w:rsidR="00D364FB">
        <w:rPr>
          <w:sz w:val="20"/>
          <w:szCs w:val="20"/>
        </w:rPr>
        <w:t>гиперлипидемии</w:t>
      </w:r>
      <w:proofErr w:type="spellEnd"/>
      <w:r w:rsidR="00D364FB">
        <w:rPr>
          <w:sz w:val="20"/>
          <w:szCs w:val="20"/>
        </w:rPr>
        <w:t xml:space="preserve">, повышенного давления, курения в анамнезе, сердечной недостаточности, нарушения мозгового кровообращения, заболевания периферических артерий, лишнего веса, хронической </w:t>
      </w:r>
      <w:proofErr w:type="spellStart"/>
      <w:r w:rsidR="00D364FB">
        <w:rPr>
          <w:sz w:val="20"/>
          <w:szCs w:val="20"/>
        </w:rPr>
        <w:t>обструктивной</w:t>
      </w:r>
      <w:proofErr w:type="spellEnd"/>
      <w:r w:rsidR="00D364FB">
        <w:rPr>
          <w:sz w:val="20"/>
          <w:szCs w:val="20"/>
        </w:rPr>
        <w:t xml:space="preserve"> болезни легких, возраста, расы, латиноамериканского происхождения, острого коронарного синдрома, </w:t>
      </w:r>
      <w:r w:rsidR="00057C84">
        <w:rPr>
          <w:sz w:val="20"/>
          <w:szCs w:val="20"/>
        </w:rPr>
        <w:t xml:space="preserve">оценки риска кровотечения при ЧКВ по </w:t>
      </w:r>
      <w:r w:rsidR="00057C84">
        <w:rPr>
          <w:sz w:val="20"/>
          <w:szCs w:val="20"/>
          <w:lang w:val="en-US"/>
        </w:rPr>
        <w:t>NCDR</w:t>
      </w:r>
      <w:r w:rsidR="00057C84">
        <w:rPr>
          <w:sz w:val="20"/>
          <w:szCs w:val="20"/>
        </w:rPr>
        <w:t xml:space="preserve">, предшествующего инфаркта миокарда, предшествующего ЧКВ, предшествующего АКШ и предшествующего сильного кровотечения. </w:t>
      </w:r>
      <w:r w:rsidR="006911FD">
        <w:rPr>
          <w:sz w:val="20"/>
          <w:szCs w:val="20"/>
        </w:rPr>
        <w:t xml:space="preserve">В моделях для </w:t>
      </w:r>
      <w:proofErr w:type="spellStart"/>
      <w:r w:rsidR="006911FD">
        <w:rPr>
          <w:sz w:val="20"/>
          <w:szCs w:val="20"/>
        </w:rPr>
        <w:t>абциксимаба</w:t>
      </w:r>
      <w:proofErr w:type="spellEnd"/>
      <w:r w:rsidR="006911FD">
        <w:rPr>
          <w:sz w:val="20"/>
          <w:szCs w:val="20"/>
        </w:rPr>
        <w:t xml:space="preserve"> также использовали переменные для пола и хронического заболевания почек. Диализ является известным противопоказанием к приему </w:t>
      </w:r>
      <w:proofErr w:type="spellStart"/>
      <w:r w:rsidR="006911FD">
        <w:rPr>
          <w:sz w:val="20"/>
          <w:szCs w:val="20"/>
        </w:rPr>
        <w:t>эптифибатида</w:t>
      </w:r>
      <w:proofErr w:type="spellEnd"/>
      <w:r w:rsidR="006911FD">
        <w:rPr>
          <w:sz w:val="20"/>
          <w:szCs w:val="20"/>
        </w:rPr>
        <w:t>, и у всех пациентов, которым проводится диализ есть хроническое заболевание почек, поэтому это заболевание не включалось в модель отбора в качестве сопутствующего заболевания. На основании коэффициента склонности мы рассчитали</w:t>
      </w:r>
      <w:r w:rsidR="003D71C7">
        <w:rPr>
          <w:sz w:val="20"/>
          <w:szCs w:val="20"/>
        </w:rPr>
        <w:t xml:space="preserve"> обратный вес вероятности и округлили значение при наивысшем 97,5 </w:t>
      </w:r>
      <w:proofErr w:type="spellStart"/>
      <w:r w:rsidR="003D71C7">
        <w:rPr>
          <w:sz w:val="20"/>
          <w:szCs w:val="20"/>
        </w:rPr>
        <w:t>процентиле</w:t>
      </w:r>
      <w:proofErr w:type="spellEnd"/>
      <w:r w:rsidR="003D71C7">
        <w:rPr>
          <w:sz w:val="20"/>
          <w:szCs w:val="20"/>
        </w:rPr>
        <w:t xml:space="preserve"> и </w:t>
      </w:r>
      <w:proofErr w:type="spellStart"/>
      <w:r w:rsidR="003D71C7">
        <w:rPr>
          <w:sz w:val="20"/>
          <w:szCs w:val="20"/>
        </w:rPr>
        <w:t>наинизшем</w:t>
      </w:r>
      <w:proofErr w:type="spellEnd"/>
      <w:r w:rsidR="003D71C7">
        <w:rPr>
          <w:sz w:val="20"/>
          <w:szCs w:val="20"/>
        </w:rPr>
        <w:t xml:space="preserve"> 2,5 </w:t>
      </w:r>
      <w:proofErr w:type="spellStart"/>
      <w:r w:rsidR="003D71C7">
        <w:rPr>
          <w:sz w:val="20"/>
          <w:szCs w:val="20"/>
        </w:rPr>
        <w:t>процентиле</w:t>
      </w:r>
      <w:proofErr w:type="spellEnd"/>
      <w:r w:rsidR="003D71C7">
        <w:rPr>
          <w:sz w:val="20"/>
          <w:szCs w:val="20"/>
        </w:rPr>
        <w:t xml:space="preserve">. Равновесие во взвешенной по склонности группе оценивалось с помощью приведенных разностей для всех независимых переменных, а анализ чувствительности с различными порогами округления приведен для оценки возможной ошибки округления (рисунок 1 и таблица 3 в приложении). Достаточным равновесием во </w:t>
      </w:r>
      <w:r w:rsidR="003D71C7">
        <w:rPr>
          <w:sz w:val="20"/>
          <w:szCs w:val="20"/>
        </w:rPr>
        <w:lastRenderedPageBreak/>
        <w:t xml:space="preserve">всех случаях считалась разность менее 10 % по всем переменным. </w:t>
      </w:r>
      <w:r w:rsidR="00460598">
        <w:rPr>
          <w:sz w:val="20"/>
          <w:szCs w:val="20"/>
        </w:rPr>
        <w:t>Все независимые переменные показали достаточное равновесие по этому показателю, за исключением пола в группе с предшествующим инсультом, которую мы включили в модель исходов.</w:t>
      </w:r>
    </w:p>
    <w:p w:rsidR="00460598" w:rsidRDefault="00460598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В этих подгруппах связь между получением противопоказанного препарата и исходом у пациента сначала сопоставили с графиками совокупной частоты возникновения, не взвешенной и взвешенной по обратному весу вероятности для корректировки с учетом риска, и учли летальные исходы как риск, сопоставимый с кровотечением.</w:t>
      </w:r>
    </w:p>
    <w:p w:rsidR="00460598" w:rsidRDefault="00460598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моделей чувствительности мы использовали модели пропорциональных рисков Кокса с надежными алгоритмами оценки матрицы независимых переменных для учета группировки по центрам и </w:t>
      </w:r>
      <w:r w:rsidR="008D7869">
        <w:rPr>
          <w:sz w:val="20"/>
          <w:szCs w:val="20"/>
        </w:rPr>
        <w:t>проводили взвешивание по обратному весу вероятности, включая основное действие с точки зрения того, был ли прием противопоказанного препарата единственным прогностическим фактором у пациента (за вышеупомянутым исключением для группы с предшествующим инсультом). Подробнее об этой модели исходов говорится в приложении.</w:t>
      </w:r>
    </w:p>
    <w:p w:rsidR="008D7869" w:rsidRDefault="008D7869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Анализ чувствительности</w:t>
      </w:r>
    </w:p>
    <w:p w:rsidR="008D7869" w:rsidRDefault="008D7869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Использование препарата, подавляющего действие гликопротеина </w:t>
      </w:r>
      <w:proofErr w:type="spellStart"/>
      <w:r>
        <w:rPr>
          <w:sz w:val="20"/>
          <w:szCs w:val="20"/>
          <w:lang w:val="en-US"/>
        </w:rPr>
        <w:t>IIb</w:t>
      </w:r>
      <w:proofErr w:type="spellEnd"/>
      <w:r w:rsidRPr="008D7869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IIIa</w:t>
      </w:r>
      <w:proofErr w:type="spellEnd"/>
      <w:r>
        <w:rPr>
          <w:sz w:val="20"/>
          <w:szCs w:val="20"/>
        </w:rPr>
        <w:t xml:space="preserve">, может стать </w:t>
      </w:r>
      <w:r w:rsidR="005D7D50">
        <w:rPr>
          <w:sz w:val="20"/>
          <w:szCs w:val="20"/>
        </w:rPr>
        <w:t>экстренной</w:t>
      </w:r>
      <w:r>
        <w:rPr>
          <w:sz w:val="20"/>
          <w:szCs w:val="20"/>
        </w:rPr>
        <w:t xml:space="preserve"> стратегией для пациентов, поступивших с инфарктом миокарда с подъемом сегмента </w:t>
      </w:r>
      <w:r>
        <w:rPr>
          <w:sz w:val="20"/>
          <w:szCs w:val="20"/>
          <w:lang w:val="en-US"/>
        </w:rPr>
        <w:t>ST</w:t>
      </w:r>
      <w:r w:rsidRPr="008D7869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STEMI</w:t>
      </w:r>
      <w:r w:rsidRPr="008D7869">
        <w:rPr>
          <w:sz w:val="20"/>
          <w:szCs w:val="20"/>
        </w:rPr>
        <w:t>)</w:t>
      </w:r>
      <w:r>
        <w:rPr>
          <w:sz w:val="20"/>
          <w:szCs w:val="20"/>
        </w:rPr>
        <w:t xml:space="preserve">. В </w:t>
      </w:r>
      <w:r w:rsidR="002D648C">
        <w:rPr>
          <w:sz w:val="20"/>
          <w:szCs w:val="20"/>
        </w:rPr>
        <w:t>таких условиях подходящих альтернатив</w:t>
      </w:r>
      <w:r w:rsidR="005D7D50">
        <w:rPr>
          <w:sz w:val="20"/>
          <w:szCs w:val="20"/>
        </w:rPr>
        <w:t xml:space="preserve"> противопоказанному ингибитору гликопротеина </w:t>
      </w:r>
      <w:proofErr w:type="spellStart"/>
      <w:r w:rsidR="005D7D50">
        <w:rPr>
          <w:sz w:val="20"/>
          <w:szCs w:val="20"/>
          <w:lang w:val="en-US"/>
        </w:rPr>
        <w:t>IIb</w:t>
      </w:r>
      <w:proofErr w:type="spellEnd"/>
      <w:r w:rsidR="005D7D50" w:rsidRPr="005D7D50">
        <w:rPr>
          <w:sz w:val="20"/>
          <w:szCs w:val="20"/>
        </w:rPr>
        <w:t>/</w:t>
      </w:r>
      <w:proofErr w:type="spellStart"/>
      <w:r w:rsidR="005D7D50">
        <w:rPr>
          <w:sz w:val="20"/>
          <w:szCs w:val="20"/>
          <w:lang w:val="en-US"/>
        </w:rPr>
        <w:t>IIIa</w:t>
      </w:r>
      <w:proofErr w:type="spellEnd"/>
      <w:r w:rsidR="005D7D50" w:rsidRPr="005D7D50">
        <w:rPr>
          <w:sz w:val="20"/>
          <w:szCs w:val="20"/>
        </w:rPr>
        <w:t xml:space="preserve"> </w:t>
      </w:r>
      <w:r w:rsidR="005D7D50">
        <w:rPr>
          <w:sz w:val="20"/>
          <w:szCs w:val="20"/>
        </w:rPr>
        <w:t xml:space="preserve">может не быть. Для определения степени противопоказанного применения при таком экстренном использовании этих препаратов мы повторили анализ после исключения пациентов со </w:t>
      </w:r>
      <w:r w:rsidR="005D7D50">
        <w:rPr>
          <w:sz w:val="20"/>
          <w:szCs w:val="20"/>
          <w:lang w:val="en-US"/>
        </w:rPr>
        <w:t>STEMI</w:t>
      </w:r>
      <w:r w:rsidR="005D7D50">
        <w:rPr>
          <w:sz w:val="20"/>
          <w:szCs w:val="20"/>
        </w:rPr>
        <w:t>.</w:t>
      </w:r>
    </w:p>
    <w:p w:rsidR="00DB37CD" w:rsidRDefault="00DB37CD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Внутривенные или подкожные антикоагулянты, такие как гепарин, гепарин с низким молекулярным весом и </w:t>
      </w:r>
      <w:proofErr w:type="spellStart"/>
      <w:r>
        <w:rPr>
          <w:sz w:val="20"/>
          <w:szCs w:val="20"/>
        </w:rPr>
        <w:t>фондапаринукс</w:t>
      </w:r>
      <w:proofErr w:type="spellEnd"/>
      <w:r>
        <w:rPr>
          <w:sz w:val="20"/>
          <w:szCs w:val="20"/>
        </w:rPr>
        <w:t>, связаны с риском кровотечения в ходе процедуры. По этой причине мы использование всех антикоагулянтов во время процедуры как независимую переменную в модель пропорциональных рисков Кокса во втором анализе чувствительности.</w:t>
      </w:r>
    </w:p>
    <w:p w:rsidR="00DB37CD" w:rsidRDefault="00DB37CD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</w:t>
      </w:r>
    </w:p>
    <w:p w:rsidR="00DB37CD" w:rsidRDefault="00DB37CD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Из 64 294 пациентов, которыми провели ЧКВ, 11 315 (17,6%)</w:t>
      </w:r>
      <w:r w:rsidR="00FC4CB4">
        <w:rPr>
          <w:sz w:val="20"/>
          <w:szCs w:val="20"/>
        </w:rPr>
        <w:t xml:space="preserve"> имели заболевание, которое являлось противопоказанием к приему хотя бы одного </w:t>
      </w:r>
      <w:proofErr w:type="spellStart"/>
      <w:r w:rsidR="00FC4CB4">
        <w:rPr>
          <w:sz w:val="20"/>
          <w:szCs w:val="20"/>
        </w:rPr>
        <w:t>антитромбоцитарного</w:t>
      </w:r>
      <w:proofErr w:type="spellEnd"/>
      <w:r w:rsidR="00FC4CB4">
        <w:rPr>
          <w:sz w:val="20"/>
          <w:szCs w:val="20"/>
        </w:rPr>
        <w:t xml:space="preserve"> препарата. Среди пациентов, имеющих противопоказание к приему хотя бы одного </w:t>
      </w:r>
      <w:proofErr w:type="spellStart"/>
      <w:r w:rsidR="00FC4CB4">
        <w:rPr>
          <w:sz w:val="20"/>
          <w:szCs w:val="20"/>
        </w:rPr>
        <w:t>антитромбоцитарного</w:t>
      </w:r>
      <w:proofErr w:type="spellEnd"/>
      <w:r w:rsidR="00FC4CB4">
        <w:rPr>
          <w:sz w:val="20"/>
          <w:szCs w:val="20"/>
        </w:rPr>
        <w:t xml:space="preserve"> препарата, 737 (6,5%; 1,1% всей популяции ЧКВ) пациентов получали противопоказанный препарат по время процедуры или при выписке из больницы (таблица 2). </w:t>
      </w:r>
      <w:proofErr w:type="spellStart"/>
      <w:r w:rsidR="00FC4CB4">
        <w:rPr>
          <w:sz w:val="20"/>
          <w:szCs w:val="20"/>
        </w:rPr>
        <w:t>Абциксимаб</w:t>
      </w:r>
      <w:proofErr w:type="spellEnd"/>
      <w:r w:rsidR="00FC4CB4">
        <w:rPr>
          <w:sz w:val="20"/>
          <w:szCs w:val="20"/>
        </w:rPr>
        <w:t xml:space="preserve"> и </w:t>
      </w:r>
      <w:proofErr w:type="spellStart"/>
      <w:r w:rsidR="00FC4CB4">
        <w:rPr>
          <w:sz w:val="20"/>
          <w:szCs w:val="20"/>
        </w:rPr>
        <w:t>эптифибатид</w:t>
      </w:r>
      <w:proofErr w:type="spellEnd"/>
      <w:r w:rsidR="00FC4CB4">
        <w:rPr>
          <w:sz w:val="20"/>
          <w:szCs w:val="20"/>
        </w:rPr>
        <w:t xml:space="preserve"> были наиболее распространенными препаратами, которые использовались во время процедуры. Из 5736 с одним или несколькими противопоказаниями к приему </w:t>
      </w:r>
      <w:proofErr w:type="spellStart"/>
      <w:r w:rsidR="00FC4CB4">
        <w:rPr>
          <w:sz w:val="20"/>
          <w:szCs w:val="20"/>
        </w:rPr>
        <w:t>абциксимаба</w:t>
      </w:r>
      <w:proofErr w:type="spellEnd"/>
      <w:r w:rsidR="00211E1D">
        <w:rPr>
          <w:sz w:val="20"/>
          <w:szCs w:val="20"/>
        </w:rPr>
        <w:t xml:space="preserve"> 17 пациентов принимали его при тяжелой гипертонии, 147 при тромбоцитопении и 115 с предшествующим инсультом. Из 2518 пациентов с одним или несколькими противопоказаниями к приему </w:t>
      </w:r>
      <w:proofErr w:type="spellStart"/>
      <w:r w:rsidR="00211E1D">
        <w:rPr>
          <w:sz w:val="20"/>
          <w:szCs w:val="20"/>
        </w:rPr>
        <w:t>эптифибатида</w:t>
      </w:r>
      <w:proofErr w:type="spellEnd"/>
      <w:r w:rsidR="00211E1D">
        <w:rPr>
          <w:sz w:val="20"/>
          <w:szCs w:val="20"/>
        </w:rPr>
        <w:t xml:space="preserve">, 49 пациентов принимали его при тяжелой гипертонии, 68 с предшествующим внутричерепном кровотечении, 70 с предшествующим инсультом и 162 во время диализа. В период с 2007 по 2013 гг. отмечалось снижение общей частоты применения </w:t>
      </w:r>
      <w:proofErr w:type="spellStart"/>
      <w:r w:rsidR="00211E1D">
        <w:rPr>
          <w:sz w:val="20"/>
          <w:szCs w:val="20"/>
        </w:rPr>
        <w:t>абциксимаба</w:t>
      </w:r>
      <w:proofErr w:type="spellEnd"/>
      <w:r w:rsidR="00211E1D">
        <w:rPr>
          <w:sz w:val="20"/>
          <w:szCs w:val="20"/>
        </w:rPr>
        <w:t xml:space="preserve"> (с 6,9% до 3,0% для всех ЧКВ) и </w:t>
      </w:r>
      <w:proofErr w:type="spellStart"/>
      <w:r w:rsidR="00211E1D">
        <w:rPr>
          <w:sz w:val="20"/>
          <w:szCs w:val="20"/>
        </w:rPr>
        <w:t>эптифибатида</w:t>
      </w:r>
      <w:proofErr w:type="spellEnd"/>
      <w:r w:rsidR="00211E1D">
        <w:rPr>
          <w:sz w:val="20"/>
          <w:szCs w:val="20"/>
        </w:rPr>
        <w:t xml:space="preserve"> (с 22,9% до 12,0%) (</w:t>
      </w:r>
      <w:proofErr w:type="gramStart"/>
      <w:r w:rsidR="00211E1D">
        <w:rPr>
          <w:sz w:val="20"/>
          <w:szCs w:val="20"/>
        </w:rPr>
        <w:t>р</w:t>
      </w:r>
      <w:proofErr w:type="gramEnd"/>
      <w:r w:rsidR="00211E1D">
        <w:rPr>
          <w:sz w:val="20"/>
          <w:szCs w:val="20"/>
        </w:rPr>
        <w:t> </w:t>
      </w:r>
      <w:r w:rsidR="00211E1D">
        <w:rPr>
          <w:rFonts w:cs="Times New Roman"/>
          <w:sz w:val="20"/>
          <w:szCs w:val="20"/>
        </w:rPr>
        <w:t>˂</w:t>
      </w:r>
      <w:r w:rsidR="00211E1D">
        <w:rPr>
          <w:sz w:val="20"/>
          <w:szCs w:val="20"/>
        </w:rPr>
        <w:t> 0,001 для обоих препаратов).</w:t>
      </w:r>
    </w:p>
    <w:p w:rsidR="00211E1D" w:rsidRDefault="002809E1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Среди пациентов, получавших противопоказанные препараты, 682 (92,5%) пациентов получали противопоказанные препараты при процедуре ЧКВ и 88 (11,9%) пациентов получали противопоказанные препараты при выписке из больницы. Некоторые пациенты получали противопоказанные препараты в обоих случаях. Противопоказанные препараты, которые использовались при выписке, включали </w:t>
      </w:r>
      <w:proofErr w:type="spellStart"/>
      <w:r>
        <w:rPr>
          <w:sz w:val="20"/>
          <w:szCs w:val="20"/>
        </w:rPr>
        <w:t>прасугрел</w:t>
      </w:r>
      <w:proofErr w:type="spellEnd"/>
      <w:r>
        <w:rPr>
          <w:sz w:val="20"/>
          <w:szCs w:val="20"/>
        </w:rPr>
        <w:t xml:space="preserve"> у 85/6696 (1,3%) пациентов с предшествующим инсультом, </w:t>
      </w:r>
      <w:proofErr w:type="spellStart"/>
      <w:r>
        <w:rPr>
          <w:sz w:val="20"/>
          <w:szCs w:val="20"/>
        </w:rPr>
        <w:t>тикагрелор</w:t>
      </w:r>
      <w:proofErr w:type="spellEnd"/>
      <w:r>
        <w:rPr>
          <w:sz w:val="20"/>
          <w:szCs w:val="20"/>
        </w:rPr>
        <w:t xml:space="preserve"> у 2/873 (0,2%) пациентов с циррозом и 1/326 (0,3%) пациентов с предшествующим внутричерепным кровотечением. В общем, пациенты, получавшие противопоказанные препараты, реже имели лишний вес, чаще имели хроническое заболевание почек, у них чаще развивались осложнения, связанные с обильным кровотечением, и чаще поступали с инфарктом миокарда с подъемом сегмента </w:t>
      </w:r>
      <w:r>
        <w:rPr>
          <w:sz w:val="20"/>
          <w:szCs w:val="20"/>
          <w:lang w:val="en-US"/>
        </w:rPr>
        <w:t>ST</w:t>
      </w:r>
      <w:r w:rsidRPr="002809E1">
        <w:rPr>
          <w:sz w:val="20"/>
          <w:szCs w:val="20"/>
        </w:rPr>
        <w:t xml:space="preserve"> </w:t>
      </w:r>
      <w:r>
        <w:rPr>
          <w:sz w:val="20"/>
          <w:szCs w:val="20"/>
        </w:rPr>
        <w:t>(таблица 3).</w:t>
      </w:r>
    </w:p>
    <w:p w:rsidR="002809E1" w:rsidRDefault="002809E1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Нескорректированная связь с исходами, представленными кровотечением и летальным исходом</w:t>
      </w:r>
    </w:p>
    <w:p w:rsidR="002809E1" w:rsidRDefault="00E86E5C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Среди пациентов с известными противопоказаниями прогнозируемая совокупная частота обильного кровотечение в ходе процедуры составила 22,7% (ДИ 95% от 18,1 до 23,9) у пациентов, которые получали про</w:t>
      </w:r>
      <w:r w:rsidR="00334338">
        <w:rPr>
          <w:sz w:val="20"/>
          <w:szCs w:val="20"/>
        </w:rPr>
        <w:t>тивопоказанные препараты, и 9,4</w:t>
      </w:r>
      <w:r>
        <w:rPr>
          <w:sz w:val="20"/>
          <w:szCs w:val="20"/>
        </w:rPr>
        <w:t>% (ДИ 95% от 8,6 до 9,7) у пациентов, которые не получали противопоказанные препараты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 </w:t>
      </w:r>
      <w:r>
        <w:rPr>
          <w:rFonts w:cs="Times New Roman"/>
          <w:sz w:val="20"/>
          <w:szCs w:val="20"/>
        </w:rPr>
        <w:t>˂</w:t>
      </w:r>
      <w:r>
        <w:rPr>
          <w:sz w:val="20"/>
          <w:szCs w:val="20"/>
        </w:rPr>
        <w:t> 0,001). Прогнозируемая частота летальных исходов за 30 дней составила 4,6% (ДИ 95% от 3,0 до 6,0) среди пациентов, которые получали противопоказанные препараты, и 2,5</w:t>
      </w:r>
      <w:r w:rsidR="00334338">
        <w:rPr>
          <w:sz w:val="20"/>
          <w:szCs w:val="20"/>
        </w:rPr>
        <w:t>% (ДИ 95</w:t>
      </w:r>
      <w:r>
        <w:rPr>
          <w:sz w:val="20"/>
          <w:szCs w:val="20"/>
        </w:rPr>
        <w:t>% от 2,2 до 2,8) среди пациентов, которые не получали противопоказанные препараты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= 0,01). Среди 265 пациентов, которые получали </w:t>
      </w:r>
      <w:proofErr w:type="spellStart"/>
      <w:r>
        <w:rPr>
          <w:sz w:val="20"/>
          <w:szCs w:val="20"/>
        </w:rPr>
        <w:t>абциксимаб</w:t>
      </w:r>
      <w:proofErr w:type="spellEnd"/>
      <w:r>
        <w:rPr>
          <w:sz w:val="20"/>
          <w:szCs w:val="20"/>
        </w:rPr>
        <w:t>, несмотря на одно или несколько противопоказаний, случаев внутричерепного кровотечения не было.</w:t>
      </w:r>
    </w:p>
    <w:p w:rsidR="00E86E5C" w:rsidRDefault="00E86E5C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Связь с исходами, представленными кровотечением и летальным исходом</w:t>
      </w:r>
    </w:p>
    <w:p w:rsidR="00E86E5C" w:rsidRDefault="00E86E5C" w:rsidP="00AA0507">
      <w:pPr>
        <w:spacing w:after="240"/>
        <w:jc w:val="both"/>
        <w:rPr>
          <w:sz w:val="20"/>
          <w:szCs w:val="20"/>
        </w:rPr>
      </w:pPr>
      <w:r w:rsidRPr="00E86E5C">
        <w:rPr>
          <w:sz w:val="20"/>
          <w:szCs w:val="20"/>
        </w:rPr>
        <w:t xml:space="preserve">Как </w:t>
      </w:r>
      <w:r>
        <w:rPr>
          <w:sz w:val="20"/>
          <w:szCs w:val="20"/>
        </w:rPr>
        <w:t xml:space="preserve">показано на рисунке, использование </w:t>
      </w:r>
      <w:proofErr w:type="spellStart"/>
      <w:r>
        <w:rPr>
          <w:sz w:val="20"/>
          <w:szCs w:val="20"/>
        </w:rPr>
        <w:t>абциксимаба</w:t>
      </w:r>
      <w:proofErr w:type="spellEnd"/>
      <w:r>
        <w:rPr>
          <w:sz w:val="20"/>
          <w:szCs w:val="20"/>
        </w:rPr>
        <w:t xml:space="preserve"> было связано с повышенным нескорректированным риском обильного кровотечения в ходе процедуры у пациентов с тромбоцитопенией (29,1% и 11,9%, ОР 2,57%, ДИ 95% от 1,71 до 3,87) и у пациентов с предше</w:t>
      </w:r>
      <w:r w:rsidR="00EB4ABE">
        <w:rPr>
          <w:sz w:val="20"/>
          <w:szCs w:val="20"/>
        </w:rPr>
        <w:t>ствующим инсультом (19,5% и 7,8</w:t>
      </w:r>
      <w:r>
        <w:rPr>
          <w:sz w:val="20"/>
          <w:szCs w:val="20"/>
        </w:rPr>
        <w:t xml:space="preserve">%, ОР 2,59, ДИ 95 % от 1,78 до 3,52). </w:t>
      </w:r>
      <w:r w:rsidR="00EB4ABE">
        <w:rPr>
          <w:sz w:val="20"/>
          <w:szCs w:val="20"/>
        </w:rPr>
        <w:t xml:space="preserve">Эта связь сохранилась в модели, взвешенной по склонности, для кровотечения при тромбоцитопении (25,9% и 12,1%, ОР 2,23, ДИ 95% от 1,58 до 3, 16) и предшествующем инсульте (15,2% и 7,9%, ОР 1,93, ДИ 95% от 1,37 до 2,71). Использование </w:t>
      </w:r>
      <w:proofErr w:type="spellStart"/>
      <w:r w:rsidR="00EB4ABE">
        <w:rPr>
          <w:sz w:val="20"/>
          <w:szCs w:val="20"/>
        </w:rPr>
        <w:t>абциксимаба</w:t>
      </w:r>
      <w:proofErr w:type="spellEnd"/>
      <w:r w:rsidR="00EB4ABE">
        <w:rPr>
          <w:sz w:val="20"/>
          <w:szCs w:val="20"/>
        </w:rPr>
        <w:t xml:space="preserve"> при тромбоцитопении (3,0% и 2,6%, ОР 1,17, ДИ 95% от 0,42 до 3,22) и пациентов с предшествующим инсультом (2,4% и 2,0%, ОР 1,22, ДИ 95% от 0,31 до 4,75) не показало значительной связи со случаями летального исхода по любой причине за 30 дней в модели, взвешенной по склонности. Использование </w:t>
      </w:r>
      <w:proofErr w:type="spellStart"/>
      <w:r w:rsidR="00EB4ABE">
        <w:rPr>
          <w:sz w:val="20"/>
          <w:szCs w:val="20"/>
        </w:rPr>
        <w:t>эптифибатида</w:t>
      </w:r>
      <w:proofErr w:type="spellEnd"/>
      <w:r w:rsidR="00EB4ABE">
        <w:rPr>
          <w:sz w:val="20"/>
          <w:szCs w:val="20"/>
        </w:rPr>
        <w:t xml:space="preserve"> у пациентов, которым проводился диализ, также не имело значимой связи с обильным кровотечением в ходе процедуры (17,9% и 13,3%, ОР 1,35, ДИ 95% от 0,83 до 2,20) или летальными исходами по любой причине за 30 дней (8,7% и 5,5%, ОР 1,60, </w:t>
      </w:r>
      <w:r w:rsidR="00356293">
        <w:rPr>
          <w:sz w:val="20"/>
          <w:szCs w:val="20"/>
        </w:rPr>
        <w:t xml:space="preserve">ДИ 95% от 0,74 до 3,49) в </w:t>
      </w:r>
      <w:proofErr w:type="gramStart"/>
      <w:r w:rsidR="00356293">
        <w:rPr>
          <w:sz w:val="20"/>
          <w:szCs w:val="20"/>
        </w:rPr>
        <w:t>модели</w:t>
      </w:r>
      <w:proofErr w:type="gramEnd"/>
      <w:r w:rsidR="00356293">
        <w:rPr>
          <w:sz w:val="20"/>
          <w:szCs w:val="20"/>
        </w:rPr>
        <w:t xml:space="preserve"> взвешенной по склонности. Тем не менее, мы отметили большие доверительные интервалы, которые говорят о том, что эти результаты не исключают связь и возможные отдельные прогнозы повышения риска.</w:t>
      </w:r>
    </w:p>
    <w:p w:rsidR="00356293" w:rsidRDefault="00356293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Анализ чувствительности</w:t>
      </w:r>
    </w:p>
    <w:p w:rsidR="00356293" w:rsidRDefault="00E90551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первом анализе чувствительности мы исключили 621 пациента со </w:t>
      </w:r>
      <w:r>
        <w:rPr>
          <w:sz w:val="20"/>
          <w:szCs w:val="20"/>
          <w:lang w:val="en-US"/>
        </w:rPr>
        <w:t>STEMI</w:t>
      </w:r>
      <w:r>
        <w:rPr>
          <w:sz w:val="20"/>
          <w:szCs w:val="20"/>
        </w:rPr>
        <w:t xml:space="preserve">, что составляет 97/737 (13,2%) пациентов, которые принимали противопоказанные препараты. Мы наблюдали подобную связь между противопоказанным применением </w:t>
      </w:r>
      <w:proofErr w:type="spellStart"/>
      <w:r>
        <w:rPr>
          <w:sz w:val="20"/>
          <w:szCs w:val="20"/>
        </w:rPr>
        <w:t>абциксимаба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эптифибатида</w:t>
      </w:r>
      <w:proofErr w:type="spellEnd"/>
      <w:r>
        <w:rPr>
          <w:sz w:val="20"/>
          <w:szCs w:val="20"/>
        </w:rPr>
        <w:t xml:space="preserve"> с исходами, представленными кровотечением и летальным исходов, в этом анализе чувствительности (см. рисунок 2 в приложении).</w:t>
      </w:r>
    </w:p>
    <w:p w:rsidR="00E90551" w:rsidRDefault="00E90551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</w:t>
      </w:r>
      <w:r w:rsidR="00F1208D">
        <w:rPr>
          <w:sz w:val="20"/>
          <w:szCs w:val="20"/>
        </w:rPr>
        <w:t>втором анализе чувствительности, в который в качестве независимой переменной было включено применение антикоагулянта в ходе процедуры, скорректированное отношение рисков для обильного кровотечения в ходе процедуры и летального исхода за 3- дней не показало значительных изменений (рисунок 3 в приложении).</w:t>
      </w:r>
    </w:p>
    <w:p w:rsidR="00F1208D" w:rsidRDefault="00F1208D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Третий анализ чувствительности, который проводился для различных уровней округления для взвешивания обратной вероятности, показал, что большинство результатов были надежными для выбранного уровня округления. Однако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прогнозируемое отношение рисков для кровотечения у пациентов с противопоказаниями к приему </w:t>
      </w:r>
      <w:proofErr w:type="spellStart"/>
      <w:r>
        <w:rPr>
          <w:sz w:val="20"/>
          <w:szCs w:val="20"/>
        </w:rPr>
        <w:t>абциксимаба</w:t>
      </w:r>
      <w:proofErr w:type="spellEnd"/>
      <w:r w:rsidR="00284AB7">
        <w:rPr>
          <w:sz w:val="20"/>
          <w:szCs w:val="20"/>
        </w:rPr>
        <w:t xml:space="preserve"> из-за предшествующего инсульта не было значимым при взвешивании неокругленных значений в модели показателей склонности, где точечная оценка составила 1,42 (ДИ 95% от 0,97 до 2,10; таблица 3 в приложении). Следует отметить, что увеличение уровня округления взвешенных значений сопровождается увеличением системной ошибки и снижением стандартной ошибки влияния прогнозных значений. Таким образом, полученные нами результаты о влиянии приема противопоказанного </w:t>
      </w:r>
      <w:proofErr w:type="spellStart"/>
      <w:r w:rsidR="00284AB7">
        <w:rPr>
          <w:sz w:val="20"/>
          <w:szCs w:val="20"/>
        </w:rPr>
        <w:t>абциксимаба</w:t>
      </w:r>
      <w:proofErr w:type="spellEnd"/>
      <w:r w:rsidR="00284AB7">
        <w:rPr>
          <w:sz w:val="20"/>
          <w:szCs w:val="20"/>
        </w:rPr>
        <w:t xml:space="preserve"> на кровотечение у пациентов с предшествующим инсультом</w:t>
      </w:r>
      <w:r w:rsidR="00E165EC">
        <w:rPr>
          <w:sz w:val="20"/>
          <w:szCs w:val="20"/>
        </w:rPr>
        <w:t xml:space="preserve"> по-прежнему позволяют делать такое предположение, но не являются основанием для точного определения.</w:t>
      </w:r>
    </w:p>
    <w:p w:rsidR="00E165EC" w:rsidRDefault="00E165EC" w:rsidP="00AA0507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Обсуждение</w:t>
      </w:r>
    </w:p>
    <w:p w:rsidR="00E165EC" w:rsidRDefault="00A474EB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В этом исследовании, включающем 64 294 пациента, которым проводили ЧКВ</w:t>
      </w:r>
      <w:r w:rsidR="00CA6B7F">
        <w:rPr>
          <w:sz w:val="20"/>
          <w:szCs w:val="20"/>
        </w:rPr>
        <w:t xml:space="preserve">, из АВ использование любых противопоказанных </w:t>
      </w:r>
      <w:proofErr w:type="spellStart"/>
      <w:r w:rsidR="00CA6B7F">
        <w:rPr>
          <w:sz w:val="20"/>
          <w:szCs w:val="20"/>
        </w:rPr>
        <w:t>антитромбоцитарных</w:t>
      </w:r>
      <w:proofErr w:type="spellEnd"/>
      <w:r w:rsidR="00CA6B7F">
        <w:rPr>
          <w:sz w:val="20"/>
          <w:szCs w:val="20"/>
        </w:rPr>
        <w:t xml:space="preserve"> препаратов было связано с ростом риска кровотечения. Использование противопоказанных препаратов не имело значительной связи со смертностью, скорректированной по риску, но точечная оценка показывала о</w:t>
      </w:r>
      <w:r w:rsidR="00334338">
        <w:rPr>
          <w:sz w:val="20"/>
          <w:szCs w:val="20"/>
        </w:rPr>
        <w:t>пределенный вред. Около 20</w:t>
      </w:r>
      <w:r w:rsidR="00CA6B7F">
        <w:rPr>
          <w:sz w:val="20"/>
          <w:szCs w:val="20"/>
        </w:rPr>
        <w:t xml:space="preserve">% пациентов, </w:t>
      </w:r>
      <w:r w:rsidR="00CA6B7F">
        <w:rPr>
          <w:sz w:val="20"/>
          <w:szCs w:val="20"/>
        </w:rPr>
        <w:lastRenderedPageBreak/>
        <w:t xml:space="preserve">которым проводили ЧКВ, имели известные противопоказания к приему одного или нескольких </w:t>
      </w:r>
      <w:proofErr w:type="spellStart"/>
      <w:r w:rsidR="00CA6B7F">
        <w:rPr>
          <w:sz w:val="20"/>
          <w:szCs w:val="20"/>
        </w:rPr>
        <w:t>антитромбоцитарных</w:t>
      </w:r>
      <w:proofErr w:type="spellEnd"/>
      <w:r w:rsidR="00CA6B7F">
        <w:rPr>
          <w:sz w:val="20"/>
          <w:szCs w:val="20"/>
        </w:rPr>
        <w:t xml:space="preserve"> препаратов, и более чем 1 из 20 таких пациентов получали противопоказанный препарат. В анализе скорректированных значений использование </w:t>
      </w:r>
      <w:proofErr w:type="spellStart"/>
      <w:r w:rsidR="00CA6B7F">
        <w:rPr>
          <w:sz w:val="20"/>
          <w:szCs w:val="20"/>
        </w:rPr>
        <w:t>абциксимаба</w:t>
      </w:r>
      <w:proofErr w:type="spellEnd"/>
      <w:r w:rsidR="00CA6B7F">
        <w:rPr>
          <w:sz w:val="20"/>
          <w:szCs w:val="20"/>
        </w:rPr>
        <w:t xml:space="preserve"> у пациентов с противопоказаниями из-за тромбоцитопении или предшествующего инсульта имелась вероятность роста риска обильного кровотечения.</w:t>
      </w:r>
    </w:p>
    <w:p w:rsidR="00CA6B7F" w:rsidRDefault="0076747B" w:rsidP="00AA050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Несмотря на то, что общая частота применения противопоказанных препаратов среди пациентов, которым проводили ЧКВ, была низкой (1,1%), это исследование выявило проблемы ошибочного назначения препаратов в США. </w:t>
      </w:r>
      <w:r w:rsidR="00824F01">
        <w:rPr>
          <w:sz w:val="20"/>
          <w:szCs w:val="20"/>
        </w:rPr>
        <w:t xml:space="preserve">Важно отметить, что эти данные показывают, что использование противопоказанных </w:t>
      </w:r>
      <w:proofErr w:type="spellStart"/>
      <w:r w:rsidR="00824F01">
        <w:rPr>
          <w:sz w:val="20"/>
          <w:szCs w:val="20"/>
        </w:rPr>
        <w:t>антитромбоцитарных</w:t>
      </w:r>
      <w:proofErr w:type="spellEnd"/>
      <w:r w:rsidR="00824F01">
        <w:rPr>
          <w:sz w:val="20"/>
          <w:szCs w:val="20"/>
        </w:rPr>
        <w:t xml:space="preserve"> препаратов сохраняется, несмотря на высокую частоту сообщений и предупреждения, содержащиеся в ЭМК. Ошибочное назначение медицинских препаратов является основным вопросом, который беспокоит Объединенную комиссию </w:t>
      </w:r>
      <w:r w:rsidR="00C56D42">
        <w:rPr>
          <w:sz w:val="20"/>
          <w:szCs w:val="20"/>
        </w:rPr>
        <w:t xml:space="preserve">и является общим элементом в базе данных наблюдений для постановки Национальных целей в области безопасности пациентов. В некоторых случаях имеются готовые безопасные альтернативы, которые не используются по показаниям. В частности, </w:t>
      </w:r>
      <w:proofErr w:type="spellStart"/>
      <w:r w:rsidR="00C56D42">
        <w:rPr>
          <w:sz w:val="20"/>
          <w:szCs w:val="20"/>
        </w:rPr>
        <w:t>эптифибатид</w:t>
      </w:r>
      <w:proofErr w:type="spellEnd"/>
      <w:r w:rsidR="00C56D42">
        <w:rPr>
          <w:sz w:val="20"/>
          <w:szCs w:val="20"/>
        </w:rPr>
        <w:t xml:space="preserve"> и </w:t>
      </w:r>
      <w:proofErr w:type="spellStart"/>
      <w:r w:rsidR="00C56D42">
        <w:rPr>
          <w:sz w:val="20"/>
          <w:szCs w:val="20"/>
        </w:rPr>
        <w:t>тирофибан</w:t>
      </w:r>
      <w:proofErr w:type="spellEnd"/>
      <w:r w:rsidR="00C56D42">
        <w:rPr>
          <w:sz w:val="20"/>
          <w:szCs w:val="20"/>
        </w:rPr>
        <w:t xml:space="preserve"> не имеют абсолютных противопоказаний к применению у пациентов с тромбоцитопенией. Для этих двух препаратов в этой популяции нет достаточных опубликованных данных об эффективности и безопасности. </w:t>
      </w:r>
      <w:proofErr w:type="spellStart"/>
      <w:r w:rsidR="00C56D42">
        <w:rPr>
          <w:sz w:val="20"/>
          <w:szCs w:val="20"/>
        </w:rPr>
        <w:t>Бивалирудин</w:t>
      </w:r>
      <w:proofErr w:type="spellEnd"/>
      <w:r w:rsidR="00C56D42">
        <w:rPr>
          <w:sz w:val="20"/>
          <w:szCs w:val="20"/>
        </w:rPr>
        <w:t xml:space="preserve"> может использоваться без антагониста </w:t>
      </w:r>
      <w:proofErr w:type="spellStart"/>
      <w:r w:rsidR="00C56D42">
        <w:rPr>
          <w:sz w:val="20"/>
          <w:szCs w:val="20"/>
          <w:lang w:val="en-US"/>
        </w:rPr>
        <w:t>Gp</w:t>
      </w:r>
      <w:proofErr w:type="spellEnd"/>
      <w:r w:rsidR="00C56D42" w:rsidRPr="00C56D42">
        <w:rPr>
          <w:sz w:val="20"/>
          <w:szCs w:val="20"/>
        </w:rPr>
        <w:t xml:space="preserve"> </w:t>
      </w:r>
      <w:proofErr w:type="spellStart"/>
      <w:r w:rsidR="00C56D42">
        <w:rPr>
          <w:sz w:val="20"/>
          <w:szCs w:val="20"/>
          <w:lang w:val="en-US"/>
        </w:rPr>
        <w:t>IIb</w:t>
      </w:r>
      <w:proofErr w:type="spellEnd"/>
      <w:r w:rsidR="00C56D42" w:rsidRPr="00C56D42">
        <w:rPr>
          <w:sz w:val="20"/>
          <w:szCs w:val="20"/>
        </w:rPr>
        <w:t>/</w:t>
      </w:r>
      <w:proofErr w:type="spellStart"/>
      <w:r w:rsidR="00C56D42">
        <w:rPr>
          <w:sz w:val="20"/>
          <w:szCs w:val="20"/>
          <w:lang w:val="en-US"/>
        </w:rPr>
        <w:t>IIIa</w:t>
      </w:r>
      <w:proofErr w:type="spellEnd"/>
      <w:r w:rsidR="00C56D42" w:rsidRPr="00C56D42">
        <w:rPr>
          <w:sz w:val="20"/>
          <w:szCs w:val="20"/>
        </w:rPr>
        <w:t xml:space="preserve"> </w:t>
      </w:r>
      <w:r w:rsidR="00C56D42">
        <w:rPr>
          <w:sz w:val="20"/>
          <w:szCs w:val="20"/>
        </w:rPr>
        <w:t xml:space="preserve">у пациентов с предшествующим инсультом. Вместо </w:t>
      </w:r>
      <w:proofErr w:type="spellStart"/>
      <w:r w:rsidR="00C56D42">
        <w:rPr>
          <w:sz w:val="20"/>
          <w:szCs w:val="20"/>
        </w:rPr>
        <w:t>прасугрела</w:t>
      </w:r>
      <w:proofErr w:type="spellEnd"/>
      <w:r w:rsidR="00C56D42">
        <w:rPr>
          <w:sz w:val="20"/>
          <w:szCs w:val="20"/>
        </w:rPr>
        <w:t xml:space="preserve"> у пациентов с предшествующим инсультом при выписке в качестве </w:t>
      </w:r>
      <w:proofErr w:type="spellStart"/>
      <w:r w:rsidR="00C56D42">
        <w:rPr>
          <w:sz w:val="20"/>
          <w:szCs w:val="20"/>
        </w:rPr>
        <w:t>антитромбоцитарной</w:t>
      </w:r>
      <w:proofErr w:type="spellEnd"/>
      <w:r w:rsidR="00C56D42">
        <w:rPr>
          <w:sz w:val="20"/>
          <w:szCs w:val="20"/>
        </w:rPr>
        <w:t xml:space="preserve"> терапии можно использовать </w:t>
      </w:r>
      <w:proofErr w:type="spellStart"/>
      <w:r w:rsidR="00C56D42">
        <w:rPr>
          <w:sz w:val="20"/>
          <w:szCs w:val="20"/>
        </w:rPr>
        <w:t>клопидогрел</w:t>
      </w:r>
      <w:proofErr w:type="spellEnd"/>
      <w:r w:rsidR="00C56D42">
        <w:rPr>
          <w:sz w:val="20"/>
          <w:szCs w:val="20"/>
        </w:rPr>
        <w:t xml:space="preserve"> или </w:t>
      </w:r>
      <w:proofErr w:type="spellStart"/>
      <w:r w:rsidR="00F47FF6">
        <w:rPr>
          <w:sz w:val="20"/>
          <w:szCs w:val="20"/>
        </w:rPr>
        <w:t>тикагрелор</w:t>
      </w:r>
      <w:proofErr w:type="spellEnd"/>
      <w:r w:rsidR="00C56D42">
        <w:rPr>
          <w:sz w:val="20"/>
          <w:szCs w:val="20"/>
        </w:rPr>
        <w:t xml:space="preserve">. В некоторых экстренных ситуациях при лечении </w:t>
      </w:r>
      <w:r w:rsidR="00C56D42">
        <w:rPr>
          <w:sz w:val="20"/>
          <w:szCs w:val="20"/>
          <w:lang w:val="en-US"/>
        </w:rPr>
        <w:t>STEMI</w:t>
      </w:r>
      <w:r w:rsidR="00C56D42" w:rsidRPr="00C56D42">
        <w:rPr>
          <w:sz w:val="20"/>
          <w:szCs w:val="20"/>
        </w:rPr>
        <w:t xml:space="preserve"> </w:t>
      </w:r>
      <w:r w:rsidR="00C56D42">
        <w:rPr>
          <w:sz w:val="20"/>
          <w:szCs w:val="20"/>
        </w:rPr>
        <w:t>может потребоваться использование противопоказанных препаратов, но такие ситуации занимают лишь 13% среди всех случаев использования противопоказанных препаратов</w:t>
      </w:r>
      <w:r w:rsidR="00874A02">
        <w:rPr>
          <w:sz w:val="20"/>
          <w:szCs w:val="20"/>
        </w:rPr>
        <w:t xml:space="preserve"> без различий в скорректированных исходах в анализе чувствительности.</w:t>
      </w:r>
    </w:p>
    <w:p w:rsidR="00874A02" w:rsidRDefault="00874A02" w:rsidP="00874A02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Это исследование дополняет ранее проведенную нами работу по изучению использования препаратов в условиях ЧКВ с оценкой большего числа препаратов, других важных вопросов, препаратов, которые использовались как в ходе процедуры, так и при выписке, и более длительного периода наблюдения. В 2009 г. в работе </w:t>
      </w:r>
      <w:proofErr w:type="spellStart"/>
      <w:r>
        <w:rPr>
          <w:sz w:val="20"/>
          <w:szCs w:val="20"/>
        </w:rPr>
        <w:t>Цаи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соавтров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Tsai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74A02">
        <w:rPr>
          <w:sz w:val="20"/>
          <w:szCs w:val="20"/>
        </w:rPr>
        <w:t>colleagues</w:t>
      </w:r>
      <w:proofErr w:type="spellEnd"/>
      <w:r w:rsidRPr="00874A02">
        <w:rPr>
          <w:sz w:val="20"/>
          <w:szCs w:val="20"/>
        </w:rPr>
        <w:t>)</w:t>
      </w:r>
      <w:r>
        <w:rPr>
          <w:sz w:val="20"/>
          <w:szCs w:val="20"/>
        </w:rPr>
        <w:t xml:space="preserve"> было установлено, что 22% пациентов, которым проводился диализ, в ходе процедуры получали противопоказанные </w:t>
      </w:r>
      <w:proofErr w:type="spellStart"/>
      <w:r>
        <w:rPr>
          <w:sz w:val="20"/>
          <w:szCs w:val="20"/>
        </w:rPr>
        <w:t>антитромбоцитарные</w:t>
      </w:r>
      <w:proofErr w:type="spellEnd"/>
      <w:r>
        <w:rPr>
          <w:sz w:val="20"/>
          <w:szCs w:val="20"/>
        </w:rPr>
        <w:t xml:space="preserve"> препараты при ЧКВ, и что прием противопоказанных препаратов сопровождался повышенным риском обильного кровотечения. В современной практике некоторые из противопоказанных препаратов при ЧКВ используются реже (напр., ингибиторы </w:t>
      </w:r>
      <w:proofErr w:type="spellStart"/>
      <w:r>
        <w:rPr>
          <w:sz w:val="20"/>
          <w:szCs w:val="20"/>
          <w:lang w:val="en-US"/>
        </w:rPr>
        <w:t>GPIIb</w:t>
      </w:r>
      <w:proofErr w:type="spellEnd"/>
      <w:r w:rsidRPr="00874A02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IIIa</w:t>
      </w:r>
      <w:proofErr w:type="spellEnd"/>
      <w:r>
        <w:rPr>
          <w:sz w:val="20"/>
          <w:szCs w:val="20"/>
        </w:rPr>
        <w:t xml:space="preserve">), но важность отказа от противопоказанных препаратов сохраняется, т. к. появляются новые препараты. Например, </w:t>
      </w:r>
      <w:r w:rsidR="00A4504F">
        <w:rPr>
          <w:sz w:val="20"/>
          <w:szCs w:val="20"/>
        </w:rPr>
        <w:t>в работе Шервуда и соавторов (</w:t>
      </w:r>
      <w:proofErr w:type="spellStart"/>
      <w:r w:rsidR="00A4504F" w:rsidRPr="00A4504F">
        <w:rPr>
          <w:sz w:val="20"/>
          <w:szCs w:val="20"/>
        </w:rPr>
        <w:t>Sherwood</w:t>
      </w:r>
      <w:proofErr w:type="spellEnd"/>
      <w:r w:rsidR="00A4504F" w:rsidRPr="00A4504F">
        <w:rPr>
          <w:sz w:val="20"/>
          <w:szCs w:val="20"/>
        </w:rPr>
        <w:t xml:space="preserve"> </w:t>
      </w:r>
      <w:proofErr w:type="spellStart"/>
      <w:r w:rsidR="00A4504F" w:rsidRPr="00A4504F">
        <w:rPr>
          <w:sz w:val="20"/>
          <w:szCs w:val="20"/>
        </w:rPr>
        <w:t>et</w:t>
      </w:r>
      <w:proofErr w:type="spellEnd"/>
      <w:r w:rsidR="00A4504F" w:rsidRPr="00A4504F">
        <w:rPr>
          <w:sz w:val="20"/>
          <w:szCs w:val="20"/>
        </w:rPr>
        <w:t xml:space="preserve"> </w:t>
      </w:r>
      <w:proofErr w:type="spellStart"/>
      <w:r w:rsidR="00A4504F" w:rsidRPr="00A4504F">
        <w:rPr>
          <w:sz w:val="20"/>
          <w:szCs w:val="20"/>
        </w:rPr>
        <w:t>all</w:t>
      </w:r>
      <w:proofErr w:type="spellEnd"/>
      <w:r w:rsidR="00A4504F">
        <w:rPr>
          <w:sz w:val="20"/>
          <w:szCs w:val="20"/>
        </w:rPr>
        <w:t xml:space="preserve">) </w:t>
      </w:r>
      <w:r w:rsidR="00EB1B61">
        <w:rPr>
          <w:sz w:val="20"/>
          <w:szCs w:val="20"/>
        </w:rPr>
        <w:t xml:space="preserve">определено, что </w:t>
      </w:r>
      <w:proofErr w:type="spellStart"/>
      <w:r w:rsidR="00EB1B61">
        <w:rPr>
          <w:sz w:val="20"/>
          <w:szCs w:val="20"/>
        </w:rPr>
        <w:t>прасугрел</w:t>
      </w:r>
      <w:proofErr w:type="spellEnd"/>
      <w:r w:rsidR="00EB1B61">
        <w:rPr>
          <w:sz w:val="20"/>
          <w:szCs w:val="20"/>
        </w:rPr>
        <w:t xml:space="preserve"> использовался у 3% всех пациентов, которым проводили ЧКВ</w:t>
      </w:r>
      <w:r w:rsidR="008B5410">
        <w:rPr>
          <w:sz w:val="20"/>
          <w:szCs w:val="20"/>
        </w:rPr>
        <w:t xml:space="preserve">, из Национального реестра повышения качества </w:t>
      </w:r>
      <w:r w:rsidR="008B5410" w:rsidRPr="008B5410">
        <w:rPr>
          <w:sz w:val="20"/>
          <w:szCs w:val="20"/>
        </w:rPr>
        <w:t>PINNACLE</w:t>
      </w:r>
      <w:r w:rsidR="008B5410">
        <w:rPr>
          <w:sz w:val="20"/>
          <w:szCs w:val="20"/>
        </w:rPr>
        <w:t xml:space="preserve"> не по назначению (при наличии противопоказаний), в том числе он использовался и у пациентов с предшествующим инсультом. Также отмечались значительные отличия в разных центрах по общей доле пациентов, у которых </w:t>
      </w:r>
      <w:proofErr w:type="spellStart"/>
      <w:r w:rsidR="008B5410">
        <w:rPr>
          <w:sz w:val="20"/>
          <w:szCs w:val="20"/>
        </w:rPr>
        <w:t>прасугрел</w:t>
      </w:r>
      <w:proofErr w:type="spellEnd"/>
      <w:r w:rsidR="008B5410">
        <w:rPr>
          <w:sz w:val="20"/>
          <w:szCs w:val="20"/>
        </w:rPr>
        <w:t xml:space="preserve"> использовался не по назначению (при наличии противопоказаний). В работе </w:t>
      </w:r>
      <w:proofErr w:type="spellStart"/>
      <w:r w:rsidR="008B5410">
        <w:rPr>
          <w:sz w:val="20"/>
          <w:szCs w:val="20"/>
        </w:rPr>
        <w:t>Сандху</w:t>
      </w:r>
      <w:proofErr w:type="spellEnd"/>
      <w:r w:rsidR="008B5410">
        <w:rPr>
          <w:sz w:val="20"/>
          <w:szCs w:val="20"/>
        </w:rPr>
        <w:t xml:space="preserve"> и соавторов (</w:t>
      </w:r>
      <w:proofErr w:type="spellStart"/>
      <w:r w:rsidR="008B5410" w:rsidRPr="008B5410">
        <w:rPr>
          <w:sz w:val="20"/>
          <w:szCs w:val="20"/>
        </w:rPr>
        <w:t>Sandhu</w:t>
      </w:r>
      <w:proofErr w:type="spellEnd"/>
      <w:r w:rsidR="008B5410" w:rsidRPr="008B5410">
        <w:rPr>
          <w:sz w:val="20"/>
          <w:szCs w:val="20"/>
        </w:rPr>
        <w:t xml:space="preserve"> </w:t>
      </w:r>
      <w:proofErr w:type="spellStart"/>
      <w:r w:rsidR="008B5410" w:rsidRPr="008B5410">
        <w:rPr>
          <w:sz w:val="20"/>
          <w:szCs w:val="20"/>
        </w:rPr>
        <w:t>and</w:t>
      </w:r>
      <w:proofErr w:type="spellEnd"/>
      <w:r w:rsidR="008B5410" w:rsidRPr="008B5410">
        <w:rPr>
          <w:sz w:val="20"/>
          <w:szCs w:val="20"/>
        </w:rPr>
        <w:t xml:space="preserve"> </w:t>
      </w:r>
      <w:proofErr w:type="spellStart"/>
      <w:r w:rsidR="008B5410" w:rsidRPr="008B5410">
        <w:rPr>
          <w:sz w:val="20"/>
          <w:szCs w:val="20"/>
        </w:rPr>
        <w:t>colleagues</w:t>
      </w:r>
      <w:proofErr w:type="spellEnd"/>
      <w:r w:rsidR="008B5410">
        <w:rPr>
          <w:sz w:val="20"/>
          <w:szCs w:val="20"/>
        </w:rPr>
        <w:t xml:space="preserve">) также обнаружены случаи использования </w:t>
      </w:r>
      <w:proofErr w:type="spellStart"/>
      <w:r w:rsidR="008B5410">
        <w:rPr>
          <w:sz w:val="20"/>
          <w:szCs w:val="20"/>
        </w:rPr>
        <w:t>прасугрела</w:t>
      </w:r>
      <w:proofErr w:type="spellEnd"/>
      <w:r w:rsidR="008B5410">
        <w:rPr>
          <w:sz w:val="20"/>
          <w:szCs w:val="20"/>
        </w:rPr>
        <w:t xml:space="preserve"> при наличии противопоказаний у 6-10% пациентов, зарегистрированных Сотрудничеством по улучшению качества катетеризации сердца в штате Мичиган. Ограничения по составу фармацевтических препаратов в АВ могут объяснять меньшее число случаев использования </w:t>
      </w:r>
      <w:proofErr w:type="spellStart"/>
      <w:r w:rsidR="008B5410">
        <w:rPr>
          <w:sz w:val="20"/>
          <w:szCs w:val="20"/>
        </w:rPr>
        <w:t>прасугрела</w:t>
      </w:r>
      <w:proofErr w:type="spellEnd"/>
      <w:r w:rsidR="008B5410">
        <w:rPr>
          <w:sz w:val="20"/>
          <w:szCs w:val="20"/>
        </w:rPr>
        <w:t xml:space="preserve"> и </w:t>
      </w:r>
      <w:proofErr w:type="spellStart"/>
      <w:r w:rsidR="008B5410">
        <w:rPr>
          <w:sz w:val="20"/>
          <w:szCs w:val="20"/>
        </w:rPr>
        <w:t>тикагрелора</w:t>
      </w:r>
      <w:proofErr w:type="spellEnd"/>
      <w:r w:rsidR="008B5410">
        <w:rPr>
          <w:sz w:val="20"/>
          <w:szCs w:val="20"/>
        </w:rPr>
        <w:t xml:space="preserve"> в нашем исследовании. </w:t>
      </w:r>
      <w:r w:rsidR="008E6E06">
        <w:rPr>
          <w:sz w:val="20"/>
          <w:szCs w:val="20"/>
        </w:rPr>
        <w:t>Учитывая риск развития обильного кровотечения, в частности при применении препаратов в ходе процедуры, необходимы усилия по дальнейшему снижению</w:t>
      </w:r>
      <w:r w:rsidR="003D791B">
        <w:rPr>
          <w:sz w:val="20"/>
          <w:szCs w:val="20"/>
        </w:rPr>
        <w:t xml:space="preserve"> применения противопоказанных препаратов в этих условиях. Исследования пока не показали значимой связи между использованием противопоказанных препаратов и риском летального исхода, но точечные оценки демонстрируют связь с ростом смертности. Результаты нашего исследования подтверждают результаты предшествующего исследования, но мы не можем сделать вывод о значимой связи с риском летального исхода.</w:t>
      </w:r>
    </w:p>
    <w:p w:rsidR="003D791B" w:rsidRDefault="003D791B" w:rsidP="00874A02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Использование противопоказанных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 у пациентов, которым проводится ЧКВ, имеет ряд объяснений. Во-первых, </w:t>
      </w:r>
      <w:proofErr w:type="spellStart"/>
      <w:r>
        <w:rPr>
          <w:sz w:val="20"/>
          <w:szCs w:val="20"/>
        </w:rPr>
        <w:t>антитромбоцитарные</w:t>
      </w:r>
      <w:proofErr w:type="spellEnd"/>
      <w:r>
        <w:rPr>
          <w:sz w:val="20"/>
          <w:szCs w:val="20"/>
        </w:rPr>
        <w:t xml:space="preserve"> препараты </w:t>
      </w:r>
      <w:proofErr w:type="spellStart"/>
      <w:r>
        <w:rPr>
          <w:sz w:val="20"/>
          <w:szCs w:val="20"/>
        </w:rPr>
        <w:t>антитромбоцитарные</w:t>
      </w:r>
      <w:proofErr w:type="spellEnd"/>
      <w:r>
        <w:rPr>
          <w:sz w:val="20"/>
          <w:szCs w:val="20"/>
        </w:rPr>
        <w:t xml:space="preserve"> препараты часто дают пациентам до записи в медицинской карте, в ответ на устные просьбы пациента во время процедуры, что потенциально снижает возможности сокращения использования противопоказанных препаратов у пациентов с известными противопоказаниями на основании ЭМК. </w:t>
      </w:r>
      <w:r w:rsidR="00C67213">
        <w:rPr>
          <w:sz w:val="20"/>
          <w:szCs w:val="20"/>
        </w:rPr>
        <w:t xml:space="preserve">Многие процедуры проводятся в срочном порядке, что не всегда позволяет изучить данные пациента (путем опроса пациента или изучения ЭМК) во время принятия важных медицинских решений. Во-вторых, количество </w:t>
      </w:r>
      <w:r w:rsidR="00C67213">
        <w:rPr>
          <w:sz w:val="20"/>
          <w:szCs w:val="20"/>
        </w:rPr>
        <w:lastRenderedPageBreak/>
        <w:t xml:space="preserve">предупреждений в ЭМК является избыточным и основывается на устойчивых нежелательных явлениях. В некоторых исследованиях высказываются предположения о том, что использование системы компьютерного заказа талонов к врачу (КЗТВ) позволит снизить частоту применения противопоказанных препаратов у госпитализированных пациентов. Однако проведенное нами исследование позволяет считать, что ЭМК и КЗТВ не позволят в полной степени предотвратить использование противопоказанных препаратов во время процедуры, т. к. АВ включает использование надежной системы </w:t>
      </w:r>
      <w:r w:rsidR="00A97637">
        <w:rPr>
          <w:sz w:val="20"/>
          <w:szCs w:val="20"/>
        </w:rPr>
        <w:t xml:space="preserve">ЭМК и КЗТВ, а противопоказанные препараты по-прежнему используются. Это может отражать зависимость этих процедур от времени и необходимость коммуникации с пациентом в таких условиях. Однако, даже устные сообщения от пациентов могут проверяться специалистами по проведению катетеризации с помощью предупреждений в ЭМК. Кроме этого, в настоящее время не все известные противопоказания отмечены в системе КЗТВ АВ, в том числе не отмечены противопоказания, возникшие в период после постановки диагноза (напр., инсульт). Дальнейшие исследования по выработке стратегии, которая позволила бы снизить использование противопоказанных </w:t>
      </w:r>
      <w:r w:rsidR="006F0FBF">
        <w:rPr>
          <w:sz w:val="20"/>
          <w:szCs w:val="20"/>
        </w:rPr>
        <w:t xml:space="preserve">препаратов, позволили бы повысить безопасность процедур, которые проводятся в лаборатории сердечной катетеризации. В-третьих, не все центры могут знать о противопоказаниях, утвержденных </w:t>
      </w:r>
      <w:r w:rsidR="006F0FBF">
        <w:rPr>
          <w:sz w:val="20"/>
          <w:szCs w:val="20"/>
          <w:lang w:val="en-US"/>
        </w:rPr>
        <w:t>FDA</w:t>
      </w:r>
      <w:r w:rsidR="006F0FBF" w:rsidRPr="006F0FBF">
        <w:rPr>
          <w:sz w:val="20"/>
          <w:szCs w:val="20"/>
        </w:rPr>
        <w:t xml:space="preserve"> </w:t>
      </w:r>
      <w:r w:rsidR="006F0FBF">
        <w:rPr>
          <w:sz w:val="20"/>
          <w:szCs w:val="20"/>
        </w:rPr>
        <w:t xml:space="preserve">для конкретных препаратов, некоторые центры могут быть не согласны с ограничениями по использованию препаратов. Дальнейшие усилия по улучшению качества </w:t>
      </w:r>
      <w:r w:rsidR="000F0E7A">
        <w:rPr>
          <w:sz w:val="20"/>
          <w:szCs w:val="20"/>
        </w:rPr>
        <w:t xml:space="preserve">информирования </w:t>
      </w:r>
      <w:r w:rsidR="006F0FBF">
        <w:rPr>
          <w:sz w:val="20"/>
          <w:szCs w:val="20"/>
        </w:rPr>
        <w:t xml:space="preserve">центров </w:t>
      </w:r>
      <w:r w:rsidR="000F0E7A">
        <w:rPr>
          <w:sz w:val="20"/>
          <w:szCs w:val="20"/>
        </w:rPr>
        <w:t xml:space="preserve">об известных противопоказаниях </w:t>
      </w:r>
      <w:r w:rsidR="006F0FBF">
        <w:rPr>
          <w:sz w:val="20"/>
          <w:szCs w:val="20"/>
        </w:rPr>
        <w:t xml:space="preserve">позволили бы </w:t>
      </w:r>
      <w:r w:rsidR="000F0E7A">
        <w:rPr>
          <w:sz w:val="20"/>
          <w:szCs w:val="20"/>
        </w:rPr>
        <w:t>еще больше сократить использование противопоказанных препаратов.</w:t>
      </w:r>
    </w:p>
    <w:p w:rsidR="000F0E7A" w:rsidRDefault="000F0E7A" w:rsidP="00874A02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Стратегии по снижению использования противопоказанных препаратов в ходе процедуры должны учитывать ряд факторов. Во-первых, коммуникация между пациентов и специалистами имеет очень большое значение для того, чтобы иметь представление о препаратах, которые пациент принимает параллельно с лечением, и о сопутствующих заболеваниях, которые могут относиться к известным противопоказаниям. Во-вторых, крайне важно обеспечить связь между врачом и медсестрой</w:t>
      </w:r>
      <w:r w:rsidR="00E04840">
        <w:rPr>
          <w:sz w:val="20"/>
          <w:szCs w:val="20"/>
        </w:rPr>
        <w:t xml:space="preserve">, т. к. это позволит сократить частоту использования противопоказанных препаратов в лабораториях сердечной катетеризации, учитывая частоту устных обращений пациентов. Для безопасного лечения пациента медсестры и другие сотрудники, занимающиеся уходом за пациентом, должны иметь возможность определять возможные противопоказания к приему препаратов и сообщать о них лечащему врачу. </w:t>
      </w:r>
      <w:r w:rsidR="00F47FF6">
        <w:rPr>
          <w:sz w:val="20"/>
          <w:szCs w:val="20"/>
        </w:rPr>
        <w:t>В-третьих</w:t>
      </w:r>
      <w:r w:rsidR="00E04840">
        <w:rPr>
          <w:sz w:val="20"/>
          <w:szCs w:val="20"/>
        </w:rPr>
        <w:t>, все мероприятия по улучшению качества работы лабораторий по сердечной катетеризации должны предусматривать меры по информированию врачей и специалистов, выполняющих уход за пациентами, о противопоказаниях к приему препаратов. Эффективность каждой стратегии в этом клиническом аспекте еще предстоит оценить.</w:t>
      </w:r>
    </w:p>
    <w:p w:rsidR="00E04840" w:rsidRDefault="00E04840" w:rsidP="00874A02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При интерпретации этого исследования следует учитывать ряд важных факторов. Во-первых, полученные результаты описывают практику, используемую в лаборатории катетеризации АВ</w:t>
      </w:r>
      <w:r w:rsidR="00DF449D">
        <w:rPr>
          <w:sz w:val="20"/>
          <w:szCs w:val="20"/>
        </w:rPr>
        <w:t xml:space="preserve">, и не могут распространяться на все центры здравоохранения, не относящиеся в АВ. Однако проведенные ранее исследования позволяю считать, что использование противопоказанных препаратов в условиях ЧКВ имеет еще больше общих черт для центров, не относящихся к АВ. Во-вторых, использование препаратов в лаборатории катетеризации определяется на основании документации центра, хранящейся в клинических данных программы </w:t>
      </w:r>
      <w:r w:rsidR="00DF449D">
        <w:rPr>
          <w:sz w:val="20"/>
          <w:szCs w:val="20"/>
          <w:lang w:val="en-US"/>
        </w:rPr>
        <w:t>CART</w:t>
      </w:r>
      <w:r w:rsidR="00DF449D">
        <w:rPr>
          <w:sz w:val="20"/>
          <w:szCs w:val="20"/>
        </w:rPr>
        <w:t xml:space="preserve">. Отсутствие дополнительных фармацевтических данных об использовании препаратов в лаборатории катетеризации может привести к недостаточной оценке невозможности применения противопоказанных препаратов. В-третьих, в нашем исследовании невозможно определить, связано ли использование противопоказанных </w:t>
      </w:r>
      <w:proofErr w:type="spellStart"/>
      <w:r w:rsidR="00DF449D">
        <w:rPr>
          <w:sz w:val="20"/>
          <w:szCs w:val="20"/>
        </w:rPr>
        <w:t>антитромбоцитарных</w:t>
      </w:r>
      <w:proofErr w:type="spellEnd"/>
      <w:r w:rsidR="00DF449D">
        <w:rPr>
          <w:sz w:val="20"/>
          <w:szCs w:val="20"/>
        </w:rPr>
        <w:t xml:space="preserve"> препаратов со сложными, экстренными ситуациями. Однако анализ чувствительности с исключением пациентов со </w:t>
      </w:r>
      <w:r w:rsidR="00DF449D">
        <w:rPr>
          <w:sz w:val="20"/>
          <w:szCs w:val="20"/>
          <w:lang w:val="en-US"/>
        </w:rPr>
        <w:t>STEMI</w:t>
      </w:r>
      <w:r w:rsidR="00DF449D" w:rsidRPr="00DF449D">
        <w:rPr>
          <w:sz w:val="20"/>
          <w:szCs w:val="20"/>
        </w:rPr>
        <w:t xml:space="preserve"> </w:t>
      </w:r>
      <w:r w:rsidR="00DF449D">
        <w:rPr>
          <w:sz w:val="20"/>
          <w:szCs w:val="20"/>
        </w:rPr>
        <w:t xml:space="preserve">показал, что лишь 13 % случаев применения противопоказанных препаратов относятся к экстренным случаям. </w:t>
      </w:r>
      <w:r w:rsidR="00016624">
        <w:rPr>
          <w:sz w:val="20"/>
          <w:szCs w:val="20"/>
        </w:rPr>
        <w:t xml:space="preserve">Более того, исключение таких пациентов не позволяет отрицать отмеченную связь между использованием противопоказанных препаратов и плохими исходами у пациентов. </w:t>
      </w:r>
      <w:r w:rsidR="002F3CEB">
        <w:rPr>
          <w:sz w:val="20"/>
          <w:szCs w:val="20"/>
        </w:rPr>
        <w:t xml:space="preserve">В-четвертых, необходимо учитывать неизмеренный факторы, искажающие результат, которые могут влиять на клинические исходы, связанные с применением </w:t>
      </w:r>
      <w:proofErr w:type="spellStart"/>
      <w:r w:rsidR="002F3CEB">
        <w:rPr>
          <w:sz w:val="20"/>
          <w:szCs w:val="20"/>
        </w:rPr>
        <w:t>антитромбоцитарных</w:t>
      </w:r>
      <w:proofErr w:type="spellEnd"/>
      <w:r w:rsidR="002F3CEB">
        <w:rPr>
          <w:sz w:val="20"/>
          <w:szCs w:val="20"/>
        </w:rPr>
        <w:t xml:space="preserve"> препаратов. В логической регрессионной модели с отбором по показателю предрасположенности были учтены многие клинические факторы, что снизило возможное влияние. Низкая масса тела, которая связывается с риском развития кровотечения у пациентов, принимающих </w:t>
      </w:r>
      <w:proofErr w:type="spellStart"/>
      <w:r w:rsidR="002F3CEB">
        <w:rPr>
          <w:sz w:val="20"/>
          <w:szCs w:val="20"/>
        </w:rPr>
        <w:t>прасугрел</w:t>
      </w:r>
      <w:proofErr w:type="spellEnd"/>
      <w:r w:rsidR="002F3CEB">
        <w:rPr>
          <w:sz w:val="20"/>
          <w:szCs w:val="20"/>
        </w:rPr>
        <w:t xml:space="preserve">, не включалась в оценку риска кровотечения по </w:t>
      </w:r>
      <w:r w:rsidR="002F3CEB" w:rsidRPr="002F3CEB">
        <w:rPr>
          <w:sz w:val="20"/>
          <w:szCs w:val="20"/>
        </w:rPr>
        <w:t>NCDR</w:t>
      </w:r>
      <w:r w:rsidR="002F3CEB">
        <w:rPr>
          <w:sz w:val="20"/>
          <w:szCs w:val="20"/>
        </w:rPr>
        <w:t xml:space="preserve"> или в наш скорректированный анализ. В этом анализе не оценивали дозировку препаратов и параллельное применение антикоагулянтов, которые могли повлиять на риск развития кровотечения. Мы н</w:t>
      </w:r>
      <w:r w:rsidR="001F427C">
        <w:rPr>
          <w:sz w:val="20"/>
          <w:szCs w:val="20"/>
        </w:rPr>
        <w:t>е</w:t>
      </w:r>
      <w:r w:rsidR="002F3CEB">
        <w:rPr>
          <w:sz w:val="20"/>
          <w:szCs w:val="20"/>
        </w:rPr>
        <w:t xml:space="preserve"> смогли оценить </w:t>
      </w:r>
      <w:r w:rsidR="001F427C">
        <w:rPr>
          <w:sz w:val="20"/>
          <w:szCs w:val="20"/>
        </w:rPr>
        <w:t xml:space="preserve">использование ингибиторов гликопротеина </w:t>
      </w:r>
      <w:proofErr w:type="spellStart"/>
      <w:r w:rsidR="001F427C">
        <w:rPr>
          <w:sz w:val="20"/>
          <w:szCs w:val="20"/>
          <w:lang w:val="en-US"/>
        </w:rPr>
        <w:t>IIb</w:t>
      </w:r>
      <w:proofErr w:type="spellEnd"/>
      <w:r w:rsidR="001F427C" w:rsidRPr="001F427C">
        <w:rPr>
          <w:sz w:val="20"/>
          <w:szCs w:val="20"/>
        </w:rPr>
        <w:t>/</w:t>
      </w:r>
      <w:proofErr w:type="spellStart"/>
      <w:r w:rsidR="001F427C">
        <w:rPr>
          <w:sz w:val="20"/>
          <w:szCs w:val="20"/>
          <w:lang w:val="en-US"/>
        </w:rPr>
        <w:t>IIIa</w:t>
      </w:r>
      <w:proofErr w:type="spellEnd"/>
      <w:r w:rsidR="001F427C" w:rsidRPr="001F427C">
        <w:rPr>
          <w:sz w:val="20"/>
          <w:szCs w:val="20"/>
        </w:rPr>
        <w:t xml:space="preserve"> </w:t>
      </w:r>
      <w:r w:rsidR="001F427C">
        <w:rPr>
          <w:sz w:val="20"/>
          <w:szCs w:val="20"/>
        </w:rPr>
        <w:t xml:space="preserve">или других </w:t>
      </w:r>
      <w:proofErr w:type="spellStart"/>
      <w:r w:rsidR="001F427C">
        <w:rPr>
          <w:sz w:val="20"/>
          <w:szCs w:val="20"/>
        </w:rPr>
        <w:t>антитромбоцитарных</w:t>
      </w:r>
      <w:proofErr w:type="spellEnd"/>
      <w:r w:rsidR="001F427C">
        <w:rPr>
          <w:sz w:val="20"/>
          <w:szCs w:val="20"/>
        </w:rPr>
        <w:t xml:space="preserve"> препаратов до </w:t>
      </w:r>
      <w:r w:rsidR="001F427C">
        <w:rPr>
          <w:sz w:val="20"/>
          <w:szCs w:val="20"/>
        </w:rPr>
        <w:lastRenderedPageBreak/>
        <w:t xml:space="preserve">поступления пациента в лабораторию сердечной катетеризации. В-пятых, размер выборки пациентов, получающих противопоказанные препараты, не позволил нам определить статистически значимый рост риска летального исхода (ошибка типа </w:t>
      </w:r>
      <w:r w:rsidR="001F427C">
        <w:rPr>
          <w:sz w:val="20"/>
          <w:szCs w:val="20"/>
          <w:lang w:val="en-US"/>
        </w:rPr>
        <w:t>II</w:t>
      </w:r>
      <w:r w:rsidR="001F427C" w:rsidRPr="001F427C">
        <w:rPr>
          <w:sz w:val="20"/>
          <w:szCs w:val="20"/>
        </w:rPr>
        <w:t xml:space="preserve"> </w:t>
      </w:r>
      <w:r w:rsidR="001F427C">
        <w:rPr>
          <w:sz w:val="20"/>
          <w:szCs w:val="20"/>
        </w:rPr>
        <w:t xml:space="preserve">или ложноотрицательный результат). В-шестых, наш анализ ограничивался препаратами, которые давали пациентам в ходе процедуры или при выписке, чтобы сохранить схожесть с предшествующими исследованиями. </w:t>
      </w:r>
      <w:r w:rsidR="00CC2B7B">
        <w:rPr>
          <w:sz w:val="20"/>
          <w:szCs w:val="20"/>
        </w:rPr>
        <w:t>Необходимо провести дальнейшие исследования с целью оценить использование противопоказанных препаратов в период госпитализации. В-седьмых, аллергия на медицинские препараты и нежелательные явления не оценивались как возможные причины использования противопоказанных медицинских препаратов. В-восьмых, отношение рисков и 95%-</w:t>
      </w:r>
      <w:proofErr w:type="spellStart"/>
      <w:r w:rsidR="00CC2B7B">
        <w:rPr>
          <w:sz w:val="20"/>
          <w:szCs w:val="20"/>
        </w:rPr>
        <w:t>ый</w:t>
      </w:r>
      <w:proofErr w:type="spellEnd"/>
      <w:r w:rsidR="00CC2B7B">
        <w:rPr>
          <w:sz w:val="20"/>
          <w:szCs w:val="20"/>
        </w:rPr>
        <w:t xml:space="preserve"> доверительный интервал для большинства случаев кровотечения у пациентов с тромбоцитопенией, получавших </w:t>
      </w:r>
      <w:proofErr w:type="spellStart"/>
      <w:r w:rsidR="00CC2B7B">
        <w:rPr>
          <w:sz w:val="20"/>
          <w:szCs w:val="20"/>
        </w:rPr>
        <w:t>абциксимаб</w:t>
      </w:r>
      <w:proofErr w:type="spellEnd"/>
      <w:r w:rsidR="00CC2B7B">
        <w:rPr>
          <w:sz w:val="20"/>
          <w:szCs w:val="20"/>
        </w:rPr>
        <w:t xml:space="preserve">, были очевидно одинаковыми во всем диапазоне порогов округления обратно-взвешенной вероятности, но точечная оценка отношения рисков для обильного кровотечения у пациентов с предшествующим инсультом, получавших </w:t>
      </w:r>
      <w:proofErr w:type="spellStart"/>
      <w:r w:rsidR="00CC2B7B">
        <w:rPr>
          <w:sz w:val="20"/>
          <w:szCs w:val="20"/>
        </w:rPr>
        <w:t>абциксимаб</w:t>
      </w:r>
      <w:proofErr w:type="spellEnd"/>
      <w:r w:rsidR="00CC2B7B">
        <w:rPr>
          <w:sz w:val="20"/>
          <w:szCs w:val="20"/>
        </w:rPr>
        <w:t>, снижалась по мере снижения порогов округления</w:t>
      </w:r>
      <w:r w:rsidR="00017BD0">
        <w:rPr>
          <w:sz w:val="20"/>
          <w:szCs w:val="20"/>
        </w:rPr>
        <w:t>, а 95%-</w:t>
      </w:r>
      <w:proofErr w:type="spellStart"/>
      <w:r w:rsidR="00017BD0">
        <w:rPr>
          <w:sz w:val="20"/>
          <w:szCs w:val="20"/>
        </w:rPr>
        <w:t>ый</w:t>
      </w:r>
      <w:proofErr w:type="spellEnd"/>
      <w:r w:rsidR="00017BD0">
        <w:rPr>
          <w:sz w:val="20"/>
          <w:szCs w:val="20"/>
        </w:rPr>
        <w:t xml:space="preserve"> доверительный интервал пересек значение, равное единице, без округления. Это может указывать на возможную системную ошибку при использовании этих статистических методов для снижения вариативности между группами. И наконец, административные данные, которые использовались для утверждения некоторых противопоказаний, не могут быть такими же достоверными, как другие данные </w:t>
      </w:r>
      <w:r w:rsidR="00017BD0" w:rsidRPr="00017BD0">
        <w:rPr>
          <w:sz w:val="20"/>
          <w:szCs w:val="20"/>
        </w:rPr>
        <w:t>CART</w:t>
      </w:r>
      <w:r w:rsidR="00017BD0">
        <w:rPr>
          <w:sz w:val="20"/>
          <w:szCs w:val="20"/>
        </w:rPr>
        <w:t>, которые регистрировались в ходе обычной клинической практики, поэтому возможная неправильная классификация противопоказаний может искажать результаты в направлении нуля.</w:t>
      </w:r>
    </w:p>
    <w:p w:rsidR="00017BD0" w:rsidRDefault="00017BD0" w:rsidP="00874A02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заключение стоит отметить, что в этом национальном исследовании использования препаратов в условиях ЧКВ, противопоказанные препараты применялись относительно редко. Тем не менее, более чем 1 из 20 пациентов с противопоказаниями к приему распространенных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 получал противопоказанный препарат при риске развития кровотечения. </w:t>
      </w:r>
      <w:r w:rsidR="00CB13B8">
        <w:rPr>
          <w:sz w:val="20"/>
          <w:szCs w:val="20"/>
        </w:rPr>
        <w:t>Необходимы дальнейшие меры по снижению использования противопоказанных препаратов в лабораториях сердечной катетеризации.</w:t>
      </w:r>
    </w:p>
    <w:p w:rsidR="00CB13B8" w:rsidRDefault="00CB13B8" w:rsidP="00874A02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Дополнительные материалы</w:t>
      </w:r>
    </w:p>
    <w:p w:rsidR="00CB13B8" w:rsidRDefault="00CB13B8" w:rsidP="00874A02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Дополнительные материалы см. в веб-версии </w:t>
      </w:r>
      <w:proofErr w:type="spellStart"/>
      <w:r w:rsidRPr="00CB13B8">
        <w:rPr>
          <w:sz w:val="20"/>
          <w:szCs w:val="20"/>
        </w:rPr>
        <w:t>PubMed</w:t>
      </w:r>
      <w:proofErr w:type="spellEnd"/>
      <w:r w:rsidRPr="00CB13B8">
        <w:rPr>
          <w:sz w:val="20"/>
          <w:szCs w:val="20"/>
        </w:rPr>
        <w:t xml:space="preserve"> </w:t>
      </w:r>
      <w:proofErr w:type="spellStart"/>
      <w:r w:rsidRPr="00CB13B8">
        <w:rPr>
          <w:sz w:val="20"/>
          <w:szCs w:val="20"/>
        </w:rPr>
        <w:t>Central</w:t>
      </w:r>
      <w:proofErr w:type="spellEnd"/>
      <w:r>
        <w:rPr>
          <w:sz w:val="20"/>
          <w:szCs w:val="20"/>
        </w:rPr>
        <w:t>.</w:t>
      </w:r>
    </w:p>
    <w:p w:rsidR="00CB13B8" w:rsidRDefault="00CB13B8" w:rsidP="00874A02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Благодарность</w:t>
      </w:r>
    </w:p>
    <w:p w:rsidR="00CB13B8" w:rsidRDefault="00CB13B8" w:rsidP="00CB13B8">
      <w:pPr>
        <w:spacing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финансирования: </w:t>
      </w:r>
      <w:r>
        <w:rPr>
          <w:sz w:val="20"/>
          <w:szCs w:val="20"/>
        </w:rPr>
        <w:t xml:space="preserve">д-р </w:t>
      </w:r>
      <w:proofErr w:type="spellStart"/>
      <w:r>
        <w:rPr>
          <w:sz w:val="20"/>
          <w:szCs w:val="20"/>
        </w:rPr>
        <w:t>Барнес</w:t>
      </w:r>
      <w:proofErr w:type="spellEnd"/>
      <w:r>
        <w:rPr>
          <w:sz w:val="20"/>
          <w:szCs w:val="20"/>
        </w:rPr>
        <w:t xml:space="preserve"> получил грант </w:t>
      </w:r>
      <w:r w:rsidRPr="00CB13B8">
        <w:rPr>
          <w:sz w:val="20"/>
          <w:szCs w:val="20"/>
        </w:rPr>
        <w:t>T32-HL007853</w:t>
      </w:r>
      <w:r>
        <w:rPr>
          <w:sz w:val="20"/>
          <w:szCs w:val="20"/>
        </w:rPr>
        <w:t xml:space="preserve"> от Национального института сердца, легких и крови. Д-ра Брэдли и </w:t>
      </w:r>
      <w:proofErr w:type="spellStart"/>
      <w:r>
        <w:rPr>
          <w:sz w:val="20"/>
          <w:szCs w:val="20"/>
        </w:rPr>
        <w:t>Мэддокс</w:t>
      </w:r>
      <w:proofErr w:type="spellEnd"/>
      <w:r>
        <w:rPr>
          <w:sz w:val="20"/>
          <w:szCs w:val="20"/>
        </w:rPr>
        <w:t xml:space="preserve"> получили премию за профессиональные достижения </w:t>
      </w:r>
      <w:r w:rsidRPr="00CB13B8">
        <w:rPr>
          <w:sz w:val="20"/>
          <w:szCs w:val="20"/>
        </w:rPr>
        <w:t>(H</w:t>
      </w:r>
      <w:r>
        <w:rPr>
          <w:sz w:val="20"/>
          <w:szCs w:val="20"/>
        </w:rPr>
        <w:t xml:space="preserve">SR&amp;D-CDA2 10-199 и HSR&amp;D-CDA2 </w:t>
      </w:r>
      <w:r w:rsidRPr="00CB13B8">
        <w:rPr>
          <w:sz w:val="20"/>
          <w:szCs w:val="20"/>
        </w:rPr>
        <w:t>08-021</w:t>
      </w:r>
      <w:r>
        <w:rPr>
          <w:sz w:val="20"/>
          <w:szCs w:val="20"/>
        </w:rPr>
        <w:t>, соответственно</w:t>
      </w:r>
      <w:r w:rsidRPr="00CB13B8">
        <w:rPr>
          <w:sz w:val="20"/>
          <w:szCs w:val="20"/>
        </w:rPr>
        <w:t>)</w:t>
      </w:r>
      <w:r>
        <w:rPr>
          <w:sz w:val="20"/>
          <w:szCs w:val="20"/>
        </w:rPr>
        <w:t xml:space="preserve"> от Организации по исследованиям и разработкам в области здравоохранения Администрации ветеранов.</w:t>
      </w:r>
    </w:p>
    <w:p w:rsidR="00CB13B8" w:rsidRDefault="00CB13B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B13B8" w:rsidRDefault="00CB13B8" w:rsidP="00CB13B8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Что известно</w:t>
      </w:r>
    </w:p>
    <w:p w:rsidR="00CB13B8" w:rsidRDefault="00CB13B8" w:rsidP="00CB13B8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Медицинские ошибки являются причиной 100 000 летальных исходов и требуют затрат в размере 170 миллиардов долларов США в год.</w:t>
      </w:r>
    </w:p>
    <w:p w:rsidR="00CB13B8" w:rsidRDefault="005A3BF6" w:rsidP="00CB13B8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Среди пациентов, которым проводится диализ, при проведении </w:t>
      </w:r>
      <w:proofErr w:type="spellStart"/>
      <w:r>
        <w:rPr>
          <w:sz w:val="20"/>
          <w:szCs w:val="20"/>
        </w:rPr>
        <w:t>чрескожных</w:t>
      </w:r>
      <w:proofErr w:type="spellEnd"/>
      <w:r>
        <w:rPr>
          <w:sz w:val="20"/>
          <w:szCs w:val="20"/>
        </w:rPr>
        <w:t xml:space="preserve"> коронарных вмешательств 22% из них получали противопоказанные </w:t>
      </w:r>
      <w:proofErr w:type="spellStart"/>
      <w:r>
        <w:rPr>
          <w:sz w:val="20"/>
          <w:szCs w:val="20"/>
        </w:rPr>
        <w:t>антитромбоцитарные</w:t>
      </w:r>
      <w:proofErr w:type="spellEnd"/>
      <w:r>
        <w:rPr>
          <w:sz w:val="20"/>
          <w:szCs w:val="20"/>
        </w:rPr>
        <w:t xml:space="preserve"> препараты в ходе процедуры, что привело к повышению риска обильного кровотечения.</w:t>
      </w:r>
    </w:p>
    <w:p w:rsidR="005A3BF6" w:rsidRDefault="005A3BF6" w:rsidP="005A3BF6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Информация, полученная в ходе исследования</w:t>
      </w:r>
    </w:p>
    <w:p w:rsidR="005A3BF6" w:rsidRDefault="005A3BF6" w:rsidP="005A3BF6">
      <w:pPr>
        <w:pStyle w:val="ListParagraph"/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Около 20% пациентов, которым проводились </w:t>
      </w:r>
      <w:proofErr w:type="spellStart"/>
      <w:r>
        <w:rPr>
          <w:sz w:val="20"/>
          <w:szCs w:val="20"/>
        </w:rPr>
        <w:t>чрескожные</w:t>
      </w:r>
      <w:proofErr w:type="spellEnd"/>
      <w:r>
        <w:rPr>
          <w:sz w:val="20"/>
          <w:szCs w:val="20"/>
        </w:rPr>
        <w:t xml:space="preserve"> коронарные вмешательства, имели известные противопоказания к приему от одного до пяти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препаратов.</w:t>
      </w:r>
    </w:p>
    <w:p w:rsidR="005A3BF6" w:rsidRDefault="005A3BF6" w:rsidP="005A3BF6">
      <w:pPr>
        <w:pStyle w:val="ListParagraph"/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общем, частота применения противопоказанных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 среди пациентов, которым проводили </w:t>
      </w:r>
      <w:proofErr w:type="spellStart"/>
      <w:r>
        <w:rPr>
          <w:sz w:val="20"/>
          <w:szCs w:val="20"/>
        </w:rPr>
        <w:t>чрескожные</w:t>
      </w:r>
      <w:proofErr w:type="spellEnd"/>
      <w:r>
        <w:rPr>
          <w:sz w:val="20"/>
          <w:szCs w:val="20"/>
        </w:rPr>
        <w:t xml:space="preserve"> коронарные интервенции, была низкой (1,1%).</w:t>
      </w:r>
    </w:p>
    <w:p w:rsidR="005A3BF6" w:rsidRDefault="005A3BF6" w:rsidP="005A3BF6">
      <w:pPr>
        <w:pStyle w:val="ListParagraph"/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Однако у пациентов, которые получали </w:t>
      </w:r>
      <w:proofErr w:type="spellStart"/>
      <w:r>
        <w:rPr>
          <w:sz w:val="20"/>
          <w:szCs w:val="20"/>
        </w:rPr>
        <w:t>абциксимаб</w:t>
      </w:r>
      <w:proofErr w:type="spellEnd"/>
      <w:r>
        <w:rPr>
          <w:sz w:val="20"/>
          <w:szCs w:val="20"/>
        </w:rPr>
        <w:t xml:space="preserve"> при наличии противопоказаний, отмечался двукратный рост риска обильного кровотечения.</w:t>
      </w:r>
    </w:p>
    <w:p w:rsidR="00AF2088" w:rsidRDefault="00AF208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F2088" w:rsidRDefault="00AF2088" w:rsidP="00AF2088">
      <w:pPr>
        <w:spacing w:after="24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Исходы применения противопоказанных медицинских препаратов</w:t>
      </w:r>
    </w:p>
    <w:p w:rsidR="00AF2088" w:rsidRDefault="00AF2088" w:rsidP="00AF2088">
      <w:pPr>
        <w:spacing w:after="240"/>
        <w:ind w:left="360"/>
        <w:jc w:val="both"/>
        <w:rPr>
          <w:b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0819A2F" wp14:editId="572B25E0">
            <wp:extent cx="5940425" cy="36353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585"/>
      </w:tblGrid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Abciximab</w:t>
            </w:r>
            <w:proofErr w:type="spellEnd"/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Абциксимаб</w:t>
            </w:r>
            <w:proofErr w:type="spellEnd"/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Eptifibatide</w:t>
            </w:r>
            <w:proofErr w:type="spellEnd"/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Эптифибатид</w:t>
            </w:r>
            <w:proofErr w:type="spellEnd"/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Bleeding</w:t>
            </w:r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Кровотечение</w:t>
            </w:r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 Day Mortality</w:t>
            </w:r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за 30 дней</w:t>
            </w:r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Prior stroke</w:t>
            </w:r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Предшествующий инсульт</w:t>
            </w:r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Dialysis</w:t>
            </w:r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Диализ</w:t>
            </w:r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Unadjusted</w:t>
            </w:r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корректировки</w:t>
            </w:r>
          </w:p>
        </w:tc>
      </w:tr>
      <w:tr w:rsidR="00AF2088" w:rsidTr="00AF2088">
        <w:tc>
          <w:tcPr>
            <w:tcW w:w="4626" w:type="dxa"/>
          </w:tcPr>
          <w:p w:rsidR="00AF2088" w:rsidRPr="00AF2088" w:rsidRDefault="00AF2088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Adjusted</w:t>
            </w:r>
          </w:p>
        </w:tc>
        <w:tc>
          <w:tcPr>
            <w:tcW w:w="4585" w:type="dxa"/>
          </w:tcPr>
          <w:p w:rsidR="00AF2088" w:rsidRDefault="00AF2088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корректировкой</w:t>
            </w:r>
          </w:p>
        </w:tc>
      </w:tr>
    </w:tbl>
    <w:p w:rsidR="00AF2088" w:rsidRDefault="00AF2088" w:rsidP="00AF2088">
      <w:pPr>
        <w:spacing w:after="24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Отношение рисков</w:t>
      </w:r>
    </w:p>
    <w:p w:rsidR="00AF2088" w:rsidRPr="00AF2088" w:rsidRDefault="00AF2088" w:rsidP="00AF2088">
      <w:pPr>
        <w:spacing w:after="240"/>
        <w:ind w:left="360"/>
        <w:jc w:val="both"/>
        <w:rPr>
          <w:b/>
          <w:sz w:val="20"/>
          <w:szCs w:val="20"/>
        </w:rPr>
      </w:pPr>
      <w:r w:rsidRPr="00AF2088">
        <w:rPr>
          <w:b/>
          <w:sz w:val="20"/>
          <w:szCs w:val="20"/>
        </w:rPr>
        <w:t>Рисунок.</w:t>
      </w:r>
    </w:p>
    <w:p w:rsidR="00AF2088" w:rsidRDefault="00AF2088" w:rsidP="00AF2088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Отношение рисков для кровотечения во время процедуры и смертности за 30 дней при приеме противопоказанных препаратов</w:t>
      </w:r>
    </w:p>
    <w:p w:rsidR="00AF2088" w:rsidRDefault="00AF208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F2088" w:rsidRDefault="00AF2088" w:rsidP="00AF2088">
      <w:pPr>
        <w:spacing w:after="240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Таблица 1</w:t>
      </w:r>
    </w:p>
    <w:p w:rsidR="00AF2088" w:rsidRDefault="00AF2088" w:rsidP="00AF2088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Абсолютные противопоказания к приему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 по информации </w:t>
      </w:r>
      <w:r>
        <w:rPr>
          <w:sz w:val="20"/>
          <w:szCs w:val="20"/>
          <w:lang w:val="en-US"/>
        </w:rPr>
        <w:t>FDA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Прасугрел</w:t>
            </w:r>
            <w:proofErr w:type="spellEnd"/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Предшествующий инсульт или транзиторная ишемическая атака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Тикагрелор</w:t>
            </w:r>
            <w:proofErr w:type="spellEnd"/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Цирроз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Предшествующее внутричерепное кровоизлияние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Эптифибатид</w:t>
            </w:r>
            <w:proofErr w:type="spellEnd"/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 Тяжелая гипертония (АД </w:t>
            </w:r>
            <w:r>
              <w:rPr>
                <w:rFonts w:asciiTheme="minorBidi" w:hAnsiTheme="minorBidi"/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 200/110)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Гемодиализ при заболевании почек последней стадии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Недавно перенесенный инсульт (в течение 30 дней)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Предшествующее внутричерепное кровоизлияние</w:t>
            </w:r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Абциксимаб</w:t>
            </w:r>
            <w:proofErr w:type="spellEnd"/>
          </w:p>
        </w:tc>
      </w:tr>
      <w:tr w:rsidR="00E8172B" w:rsidTr="00B13449">
        <w:tc>
          <w:tcPr>
            <w:tcW w:w="9211" w:type="dxa"/>
          </w:tcPr>
          <w:p w:rsidR="00E8172B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Недавно перенесенный инсульт (в течение 2 лет)</w:t>
            </w:r>
          </w:p>
        </w:tc>
      </w:tr>
      <w:tr w:rsidR="00E8172B" w:rsidTr="00B13449">
        <w:tc>
          <w:tcPr>
            <w:tcW w:w="9211" w:type="dxa"/>
          </w:tcPr>
          <w:p w:rsidR="00E8172B" w:rsidRPr="00B13449" w:rsidRDefault="00E8172B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Тромбоцитопения (</w:t>
            </w:r>
            <w:r w:rsidR="00B13449">
              <w:rPr>
                <w:sz w:val="20"/>
                <w:szCs w:val="20"/>
              </w:rPr>
              <w:t xml:space="preserve">код </w:t>
            </w:r>
            <w:r w:rsidR="00B13449">
              <w:rPr>
                <w:sz w:val="20"/>
                <w:szCs w:val="20"/>
                <w:lang w:val="en-US"/>
              </w:rPr>
              <w:t>ICD</w:t>
            </w:r>
            <w:r w:rsidR="00B13449" w:rsidRPr="00B13449">
              <w:rPr>
                <w:sz w:val="20"/>
                <w:szCs w:val="20"/>
              </w:rPr>
              <w:t xml:space="preserve">-9 </w:t>
            </w:r>
            <w:r w:rsidR="00B13449">
              <w:rPr>
                <w:sz w:val="20"/>
                <w:szCs w:val="20"/>
              </w:rPr>
              <w:t xml:space="preserve">или число тромбоцитов </w:t>
            </w:r>
            <w:r w:rsidR="00B13449">
              <w:rPr>
                <w:rFonts w:cs="Times New Roman"/>
                <w:sz w:val="20"/>
                <w:szCs w:val="20"/>
              </w:rPr>
              <w:t>˂</w:t>
            </w:r>
            <w:r w:rsidR="00B13449">
              <w:rPr>
                <w:sz w:val="20"/>
                <w:szCs w:val="20"/>
              </w:rPr>
              <w:t> 100 000 клеток/</w:t>
            </w:r>
            <w:proofErr w:type="spellStart"/>
            <w:r w:rsidR="00B13449">
              <w:rPr>
                <w:sz w:val="20"/>
                <w:szCs w:val="20"/>
              </w:rPr>
              <w:t>мкл</w:t>
            </w:r>
            <w:proofErr w:type="spellEnd"/>
            <w:r w:rsidR="00B13449">
              <w:rPr>
                <w:sz w:val="20"/>
                <w:szCs w:val="20"/>
              </w:rPr>
              <w:t>)</w:t>
            </w:r>
          </w:p>
        </w:tc>
      </w:tr>
      <w:tr w:rsidR="00E8172B" w:rsidTr="00B13449">
        <w:tc>
          <w:tcPr>
            <w:tcW w:w="9211" w:type="dxa"/>
          </w:tcPr>
          <w:p w:rsidR="00E8172B" w:rsidRDefault="00B13449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 Тяжелая гипертония (АД </w:t>
            </w:r>
            <w:r>
              <w:rPr>
                <w:rFonts w:asciiTheme="minorBidi" w:hAnsiTheme="minorBidi"/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 200/110)</w:t>
            </w:r>
          </w:p>
        </w:tc>
      </w:tr>
      <w:tr w:rsidR="00E8172B" w:rsidTr="00B13449">
        <w:tc>
          <w:tcPr>
            <w:tcW w:w="9211" w:type="dxa"/>
          </w:tcPr>
          <w:p w:rsidR="00E8172B" w:rsidRDefault="00B13449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Тирофибан</w:t>
            </w:r>
            <w:proofErr w:type="spellEnd"/>
          </w:p>
        </w:tc>
      </w:tr>
      <w:tr w:rsidR="00B13449" w:rsidTr="00B13449">
        <w:tc>
          <w:tcPr>
            <w:tcW w:w="9211" w:type="dxa"/>
          </w:tcPr>
          <w:p w:rsidR="00B13449" w:rsidRDefault="00B13449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Недавно перенесенный инсульт (в течение 30 дней)</w:t>
            </w:r>
          </w:p>
        </w:tc>
      </w:tr>
      <w:tr w:rsidR="00B13449" w:rsidTr="00B13449">
        <w:tc>
          <w:tcPr>
            <w:tcW w:w="9211" w:type="dxa"/>
          </w:tcPr>
          <w:p w:rsidR="00B13449" w:rsidRDefault="00B13449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Предшествующее внутричерепное кровоизлияние</w:t>
            </w:r>
          </w:p>
        </w:tc>
      </w:tr>
      <w:tr w:rsidR="00E8172B" w:rsidTr="00B13449">
        <w:tc>
          <w:tcPr>
            <w:tcW w:w="9211" w:type="dxa"/>
          </w:tcPr>
          <w:p w:rsidR="00E8172B" w:rsidRDefault="00B13449" w:rsidP="00D2012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 Тяжелая гипертония (АД </w:t>
            </w:r>
            <w:r>
              <w:rPr>
                <w:rFonts w:asciiTheme="minorBidi" w:hAnsiTheme="minorBidi"/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 200/110)</w:t>
            </w:r>
          </w:p>
        </w:tc>
      </w:tr>
    </w:tbl>
    <w:p w:rsidR="00AF2088" w:rsidRDefault="00B13449" w:rsidP="00AF2088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См. подробно определения для каждого противопоказания в электронной таблице 1.</w:t>
      </w:r>
    </w:p>
    <w:p w:rsidR="00B13449" w:rsidRDefault="00B1344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13449" w:rsidRDefault="00B13449" w:rsidP="00B13449">
      <w:pPr>
        <w:spacing w:after="240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Таблица 2</w:t>
      </w:r>
    </w:p>
    <w:p w:rsidR="00B13449" w:rsidRDefault="00B13449" w:rsidP="00B13449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Частота применения </w:t>
      </w:r>
      <w:proofErr w:type="spellStart"/>
      <w:r>
        <w:rPr>
          <w:sz w:val="20"/>
          <w:szCs w:val="20"/>
        </w:rPr>
        <w:t>антитромбоцитарных</w:t>
      </w:r>
      <w:proofErr w:type="spellEnd"/>
      <w:r>
        <w:rPr>
          <w:sz w:val="20"/>
          <w:szCs w:val="20"/>
        </w:rPr>
        <w:t xml:space="preserve"> препаратов при наличии противопоказаний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09"/>
        <w:gridCol w:w="1392"/>
        <w:gridCol w:w="1494"/>
        <w:gridCol w:w="1250"/>
        <w:gridCol w:w="1255"/>
        <w:gridCol w:w="1311"/>
      </w:tblGrid>
      <w:tr w:rsidR="00D2012B" w:rsidRPr="00B13449" w:rsidTr="00B13449">
        <w:tc>
          <w:tcPr>
            <w:tcW w:w="0" w:type="auto"/>
          </w:tcPr>
          <w:p w:rsidR="00B13449" w:rsidRPr="00B13449" w:rsidRDefault="00B13449" w:rsidP="00D20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Противопоказание</w:t>
            </w:r>
          </w:p>
        </w:tc>
        <w:tc>
          <w:tcPr>
            <w:tcW w:w="0" w:type="auto"/>
          </w:tcPr>
          <w:p w:rsidR="00B13449" w:rsidRPr="00B13449" w:rsidRDefault="00B13449" w:rsidP="00D201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Абциксимаб</w:t>
            </w:r>
            <w:proofErr w:type="spellEnd"/>
          </w:p>
        </w:tc>
        <w:tc>
          <w:tcPr>
            <w:tcW w:w="0" w:type="auto"/>
          </w:tcPr>
          <w:p w:rsidR="00B13449" w:rsidRPr="00B13449" w:rsidRDefault="00B13449" w:rsidP="00D201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Эптифибатид</w:t>
            </w:r>
            <w:proofErr w:type="spellEnd"/>
          </w:p>
        </w:tc>
        <w:tc>
          <w:tcPr>
            <w:tcW w:w="0" w:type="auto"/>
          </w:tcPr>
          <w:p w:rsidR="00B13449" w:rsidRPr="00B13449" w:rsidRDefault="00B13449" w:rsidP="00D201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Тирофибан</w:t>
            </w:r>
            <w:proofErr w:type="spellEnd"/>
          </w:p>
        </w:tc>
        <w:tc>
          <w:tcPr>
            <w:tcW w:w="0" w:type="auto"/>
          </w:tcPr>
          <w:p w:rsidR="00B13449" w:rsidRPr="00B13449" w:rsidRDefault="00B13449" w:rsidP="00D201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Прасугрел</w:t>
            </w:r>
            <w:proofErr w:type="spellEnd"/>
          </w:p>
        </w:tc>
        <w:tc>
          <w:tcPr>
            <w:tcW w:w="0" w:type="auto"/>
          </w:tcPr>
          <w:p w:rsidR="00B13449" w:rsidRPr="00B13449" w:rsidRDefault="00B13449" w:rsidP="00D201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Тикагрелор</w:t>
            </w:r>
            <w:proofErr w:type="spellEnd"/>
          </w:p>
        </w:tc>
      </w:tr>
      <w:tr w:rsidR="00D2012B" w:rsidTr="00B13449">
        <w:tc>
          <w:tcPr>
            <w:tcW w:w="0" w:type="auto"/>
          </w:tcPr>
          <w:p w:rsidR="00B13449" w:rsidRPr="00B13449" w:rsidRDefault="00B13449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Предшествующий инсульт</w:t>
            </w:r>
            <w:r w:rsidR="00D2012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B13449" w:rsidRDefault="00841362" w:rsidP="0033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115/2614 (4,4%)</w:t>
            </w:r>
          </w:p>
        </w:tc>
        <w:tc>
          <w:tcPr>
            <w:tcW w:w="0" w:type="auto"/>
          </w:tcPr>
          <w:p w:rsidR="00B13449" w:rsidRDefault="00841362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70/353 (19,8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841362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1/353 (0,3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841362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124/6696 (1,9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841362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D2012B" w:rsidTr="00B13449">
        <w:tc>
          <w:tcPr>
            <w:tcW w:w="0" w:type="auto"/>
          </w:tcPr>
          <w:p w:rsidR="00B13449" w:rsidRPr="00B13449" w:rsidRDefault="00841362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Тромбоцитопения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147/3154 (4,7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D2012B" w:rsidTr="00B13449">
        <w:tc>
          <w:tcPr>
            <w:tcW w:w="0" w:type="auto"/>
          </w:tcPr>
          <w:p w:rsidR="00B13449" w:rsidRPr="00B13449" w:rsidRDefault="00841362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Тяжелая гипертония (</w:t>
            </w:r>
            <w:r>
              <w:rPr>
                <w:rFonts w:cs="Times New Roman"/>
                <w:b/>
                <w:sz w:val="20"/>
                <w:szCs w:val="20"/>
              </w:rPr>
              <w:t>&gt;</w:t>
            </w:r>
            <w:r>
              <w:rPr>
                <w:b/>
                <w:sz w:val="20"/>
                <w:szCs w:val="20"/>
              </w:rPr>
              <w:t> 200/110 мм рт. ст.)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17/150 (11,3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49/150 (32,7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2/150 (1,3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D2012B" w:rsidTr="00B13449">
        <w:tc>
          <w:tcPr>
            <w:tcW w:w="0" w:type="auto"/>
          </w:tcPr>
          <w:p w:rsidR="00B13449" w:rsidRPr="00B13449" w:rsidRDefault="00841362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Диализ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162/1725 (9,4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D2012B" w:rsidTr="00B13449">
        <w:tc>
          <w:tcPr>
            <w:tcW w:w="0" w:type="auto"/>
          </w:tcPr>
          <w:p w:rsidR="00B13449" w:rsidRPr="00B13449" w:rsidRDefault="00841362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Предшествующее внутричерепное кровоизлияние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68/326 (20,9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1/326 (0,3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1/326 (0,3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</w:tr>
      <w:tr w:rsidR="00D2012B" w:rsidTr="00B13449">
        <w:tc>
          <w:tcPr>
            <w:tcW w:w="0" w:type="auto"/>
          </w:tcPr>
          <w:p w:rsidR="00B13449" w:rsidRPr="00B13449" w:rsidRDefault="00841362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Цирроз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3/873 (0,3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</w:tr>
      <w:tr w:rsidR="00D2012B" w:rsidTr="00B13449">
        <w:tc>
          <w:tcPr>
            <w:tcW w:w="0" w:type="auto"/>
          </w:tcPr>
          <w:p w:rsidR="00B13449" w:rsidRPr="00B13449" w:rsidRDefault="00841362" w:rsidP="00D201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265/5736 (4,6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344/2518 (13,7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4/826 (0,5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C67864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124/6696 (1,9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13449" w:rsidRDefault="00D2012B" w:rsidP="00D2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3/1190 (0,3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13449" w:rsidRDefault="00D2012B" w:rsidP="00B13449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Указано количество пациентов, которые получали медицинские препараты, среди общего числа пациентов с противопоказаниями.</w:t>
      </w:r>
    </w:p>
    <w:p w:rsidR="00D2012B" w:rsidRDefault="00D2012B" w:rsidP="00B13449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*Предшествующий инсульт рассматривается за 2-летний период для </w:t>
      </w:r>
      <w:proofErr w:type="spellStart"/>
      <w:r>
        <w:rPr>
          <w:sz w:val="20"/>
          <w:szCs w:val="20"/>
        </w:rPr>
        <w:t>абциксимаба</w:t>
      </w:r>
      <w:proofErr w:type="spellEnd"/>
      <w:r>
        <w:rPr>
          <w:sz w:val="20"/>
          <w:szCs w:val="20"/>
        </w:rPr>
        <w:t xml:space="preserve">, за 30-дневный период для </w:t>
      </w:r>
      <w:proofErr w:type="spellStart"/>
      <w:r>
        <w:rPr>
          <w:sz w:val="20"/>
          <w:szCs w:val="20"/>
        </w:rPr>
        <w:t>эптифибатида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тирофибана</w:t>
      </w:r>
      <w:proofErr w:type="spellEnd"/>
      <w:r>
        <w:rPr>
          <w:sz w:val="20"/>
          <w:szCs w:val="20"/>
        </w:rPr>
        <w:t xml:space="preserve"> и за любой период для </w:t>
      </w:r>
      <w:proofErr w:type="spellStart"/>
      <w:r>
        <w:rPr>
          <w:sz w:val="20"/>
          <w:szCs w:val="20"/>
        </w:rPr>
        <w:t>прасугрела</w:t>
      </w:r>
      <w:proofErr w:type="spellEnd"/>
      <w:r>
        <w:rPr>
          <w:sz w:val="20"/>
          <w:szCs w:val="20"/>
        </w:rPr>
        <w:t>.</w:t>
      </w:r>
    </w:p>
    <w:p w:rsidR="00D2012B" w:rsidRDefault="00D2012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012B" w:rsidRDefault="00D2012B" w:rsidP="00D2012B">
      <w:pPr>
        <w:spacing w:after="240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Таблица 3</w:t>
      </w:r>
    </w:p>
    <w:p w:rsidR="00D2012B" w:rsidRDefault="00D2012B" w:rsidP="00D2012B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Характеристики пациентов по применению противопоказанных препаратов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44"/>
        <w:gridCol w:w="2081"/>
        <w:gridCol w:w="1982"/>
        <w:gridCol w:w="1982"/>
        <w:gridCol w:w="1022"/>
      </w:tblGrid>
      <w:tr w:rsidR="00700DE3" w:rsidRPr="00700DE3" w:rsidTr="00F65A5A">
        <w:trPr>
          <w:tblHeader/>
        </w:trPr>
        <w:tc>
          <w:tcPr>
            <w:tcW w:w="0" w:type="auto"/>
            <w:vMerge w:val="restart"/>
          </w:tcPr>
          <w:p w:rsidR="00700DE3" w:rsidRPr="00700DE3" w:rsidRDefault="00700DE3" w:rsidP="00D201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00DE3" w:rsidRPr="00700DE3" w:rsidRDefault="00700DE3" w:rsidP="0070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число пациентов с известными противопоказаниями (</w:t>
            </w:r>
            <w:r>
              <w:rPr>
                <w:b/>
                <w:sz w:val="20"/>
                <w:szCs w:val="20"/>
                <w:lang w:val="en-US"/>
              </w:rPr>
              <w:t>N </w:t>
            </w:r>
            <w:r w:rsidRPr="00700DE3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11 315)</w:t>
            </w:r>
          </w:p>
        </w:tc>
        <w:tc>
          <w:tcPr>
            <w:tcW w:w="0" w:type="auto"/>
          </w:tcPr>
          <w:p w:rsidR="00700DE3" w:rsidRPr="00700DE3" w:rsidRDefault="00700DE3" w:rsidP="0070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 приема противопоказанных медицинских препаратов</w:t>
            </w:r>
          </w:p>
        </w:tc>
        <w:tc>
          <w:tcPr>
            <w:tcW w:w="0" w:type="auto"/>
          </w:tcPr>
          <w:p w:rsidR="00700DE3" w:rsidRPr="00700DE3" w:rsidRDefault="00700DE3" w:rsidP="0070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приемом противопоказанных медицинских препаратов</w:t>
            </w:r>
          </w:p>
        </w:tc>
        <w:tc>
          <w:tcPr>
            <w:tcW w:w="0" w:type="auto"/>
            <w:vMerge w:val="restart"/>
          </w:tcPr>
          <w:p w:rsidR="00700DE3" w:rsidRPr="00700DE3" w:rsidRDefault="00700DE3" w:rsidP="0070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Р</w:t>
            </w:r>
          </w:p>
        </w:tc>
      </w:tr>
      <w:tr w:rsidR="00700DE3" w:rsidTr="00F65A5A">
        <w:trPr>
          <w:tblHeader/>
        </w:trPr>
        <w:tc>
          <w:tcPr>
            <w:tcW w:w="0" w:type="auto"/>
            <w:vMerge/>
          </w:tcPr>
          <w:p w:rsidR="00700DE3" w:rsidRDefault="00700DE3" w:rsidP="00D20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00DE3" w:rsidRDefault="00700DE3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00DE3" w:rsidRPr="00700DE3" w:rsidRDefault="00700DE3" w:rsidP="00700DE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(N = 10 567)</w:t>
            </w:r>
          </w:p>
        </w:tc>
        <w:tc>
          <w:tcPr>
            <w:tcW w:w="0" w:type="auto"/>
          </w:tcPr>
          <w:p w:rsidR="00700DE3" w:rsidRPr="00700DE3" w:rsidRDefault="00700DE3" w:rsidP="00700DE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(N = 748)</w:t>
            </w:r>
          </w:p>
        </w:tc>
        <w:tc>
          <w:tcPr>
            <w:tcW w:w="0" w:type="auto"/>
            <w:vMerge/>
          </w:tcPr>
          <w:p w:rsidR="00700DE3" w:rsidRDefault="00700DE3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Pr="00700DE3" w:rsidRDefault="00700DE3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Демографические характеристики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700DE3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срединное значение (МКИ)</w:t>
            </w:r>
          </w:p>
        </w:tc>
        <w:tc>
          <w:tcPr>
            <w:tcW w:w="0" w:type="auto"/>
          </w:tcPr>
          <w:p w:rsidR="00D2012B" w:rsidRDefault="00700DE3" w:rsidP="00700DE3">
            <w:pPr>
              <w:jc w:val="center"/>
              <w:rPr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>65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7 (61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3-74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0)</w:t>
            </w:r>
          </w:p>
        </w:tc>
        <w:tc>
          <w:tcPr>
            <w:tcW w:w="0" w:type="auto"/>
          </w:tcPr>
          <w:p w:rsidR="00D2012B" w:rsidRDefault="00700DE3" w:rsidP="00700DE3">
            <w:pPr>
              <w:jc w:val="center"/>
              <w:rPr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>65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7 (61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3-74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:rsidR="00D2012B" w:rsidRDefault="00700DE3" w:rsidP="00700DE3">
            <w:pPr>
              <w:jc w:val="center"/>
              <w:rPr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>64</w:t>
            </w:r>
            <w:r w:rsidR="00236E52">
              <w:rPr>
                <w:sz w:val="20"/>
                <w:szCs w:val="20"/>
              </w:rPr>
              <w:t xml:space="preserve"> ,</w:t>
            </w:r>
            <w:r w:rsidRPr="00700DE3">
              <w:rPr>
                <w:sz w:val="20"/>
                <w:szCs w:val="20"/>
              </w:rPr>
              <w:t>8 (61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0-72</w:t>
            </w:r>
            <w:r w:rsidR="00236E52">
              <w:rPr>
                <w:sz w:val="20"/>
                <w:szCs w:val="20"/>
              </w:rPr>
              <w:t>,</w:t>
            </w:r>
            <w:r w:rsidRPr="00700DE3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:rsidR="00D2012B" w:rsidRDefault="00700DE3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</w:tr>
      <w:tr w:rsidR="00700DE3" w:rsidTr="00700DE3">
        <w:tc>
          <w:tcPr>
            <w:tcW w:w="0" w:type="auto"/>
          </w:tcPr>
          <w:p w:rsidR="00D2012B" w:rsidRDefault="00700DE3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11 140 (98,</w:t>
            </w:r>
            <w:r w:rsidR="00700DE3" w:rsidRPr="00700DE3">
              <w:rPr>
                <w:sz w:val="20"/>
                <w:szCs w:val="20"/>
              </w:rPr>
              <w:t>5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10 399 (98,</w:t>
            </w:r>
            <w:r w:rsidR="00700DE3" w:rsidRPr="00700DE3">
              <w:rPr>
                <w:sz w:val="20"/>
                <w:szCs w:val="20"/>
              </w:rPr>
              <w:t>4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(99,</w:t>
            </w:r>
            <w:r w:rsidR="00700DE3" w:rsidRPr="00700DE3">
              <w:rPr>
                <w:sz w:val="20"/>
                <w:szCs w:val="20"/>
              </w:rPr>
              <w:t>1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700DE3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700DE3" w:rsidTr="00700DE3">
        <w:tc>
          <w:tcPr>
            <w:tcW w:w="0" w:type="auto"/>
          </w:tcPr>
          <w:p w:rsidR="00D2012B" w:rsidRDefault="00700DE3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пациентов европеоидной расы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 (79,</w:t>
            </w:r>
            <w:r w:rsidR="00700DE3" w:rsidRPr="00700DE3">
              <w:rPr>
                <w:sz w:val="20"/>
                <w:szCs w:val="20"/>
              </w:rPr>
              <w:t>3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8399 (79,</w:t>
            </w:r>
            <w:r w:rsidR="00700DE3" w:rsidRPr="00700DE3">
              <w:rPr>
                <w:sz w:val="20"/>
                <w:szCs w:val="20"/>
              </w:rPr>
              <w:t>5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(77,</w:t>
            </w:r>
            <w:r w:rsidR="00700DE3" w:rsidRPr="00700DE3">
              <w:rPr>
                <w:sz w:val="20"/>
                <w:szCs w:val="20"/>
              </w:rPr>
              <w:t>0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700DE3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700DE3" w:rsidTr="00700DE3">
        <w:tc>
          <w:tcPr>
            <w:tcW w:w="0" w:type="auto"/>
          </w:tcPr>
          <w:p w:rsidR="00D2012B" w:rsidRDefault="00700DE3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заболевания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700DE3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Гипертония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10 844 (95,</w:t>
            </w:r>
            <w:r w:rsidR="00700DE3" w:rsidRPr="00700DE3">
              <w:rPr>
                <w:sz w:val="20"/>
                <w:szCs w:val="20"/>
              </w:rPr>
              <w:t>8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10 149 (96,</w:t>
            </w:r>
            <w:r w:rsidR="00700DE3" w:rsidRPr="00700DE3">
              <w:rPr>
                <w:sz w:val="20"/>
                <w:szCs w:val="20"/>
              </w:rPr>
              <w:t>0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E6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695 (92 </w:t>
            </w:r>
            <w:r w:rsidR="00700DE3" w:rsidRPr="00700DE3">
              <w:rPr>
                <w:sz w:val="20"/>
                <w:szCs w:val="20"/>
              </w:rPr>
              <w:t>9%)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0,</w:t>
            </w:r>
            <w:r w:rsidR="00700DE3" w:rsidRPr="00700DE3">
              <w:rPr>
                <w:sz w:val="20"/>
                <w:szCs w:val="20"/>
              </w:rPr>
              <w:t>0001</w:t>
            </w:r>
          </w:p>
        </w:tc>
      </w:tr>
      <w:tr w:rsidR="00700DE3" w:rsidTr="00700DE3">
        <w:tc>
          <w:tcPr>
            <w:tcW w:w="0" w:type="auto"/>
          </w:tcPr>
          <w:p w:rsidR="00D2012B" w:rsidRDefault="00700DE3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Гиперлипидемия</w:t>
            </w:r>
            <w:proofErr w:type="spellEnd"/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10 487 (92,</w:t>
            </w:r>
            <w:r w:rsidR="00700DE3" w:rsidRPr="00700DE3">
              <w:rPr>
                <w:sz w:val="20"/>
                <w:szCs w:val="20"/>
              </w:rPr>
              <w:t>7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9833 (93,</w:t>
            </w:r>
            <w:r w:rsidR="00700DE3" w:rsidRPr="00700DE3">
              <w:rPr>
                <w:sz w:val="20"/>
                <w:szCs w:val="20"/>
              </w:rPr>
              <w:t>1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(87,</w:t>
            </w:r>
            <w:r w:rsidR="00700DE3" w:rsidRPr="00700DE3">
              <w:rPr>
                <w:sz w:val="20"/>
                <w:szCs w:val="20"/>
              </w:rPr>
              <w:t>4</w:t>
            </w:r>
            <w:r w:rsidR="00334338">
              <w:rPr>
                <w:sz w:val="20"/>
                <w:szCs w:val="20"/>
              </w:rPr>
              <w:t>%</w:t>
            </w:r>
            <w:r w:rsidR="00700DE3" w:rsidRPr="00700DE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 w:rsidRPr="00380540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Диабет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 (60,1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6375 (60,3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(56,6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Тобакокурение</w:t>
            </w:r>
            <w:proofErr w:type="spellEnd"/>
            <w:r>
              <w:rPr>
                <w:sz w:val="20"/>
                <w:szCs w:val="20"/>
              </w:rPr>
              <w:t xml:space="preserve"> (в любой период)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7403 (65,4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6947 (65,7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(61,0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380540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Избыточный вес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 (37,</w:t>
            </w:r>
            <w:r w:rsidR="00236E52" w:rsidRPr="00236E52">
              <w:rPr>
                <w:sz w:val="20"/>
                <w:szCs w:val="20"/>
              </w:rPr>
              <w:t>4</w:t>
            </w:r>
            <w:r w:rsidR="00334338">
              <w:rPr>
                <w:sz w:val="20"/>
                <w:szCs w:val="20"/>
              </w:rPr>
              <w:t>%</w:t>
            </w:r>
            <w:r w:rsidR="00236E52" w:rsidRPr="00236E5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 (37,</w:t>
            </w:r>
            <w:r w:rsidR="00236E52" w:rsidRPr="00236E52">
              <w:rPr>
                <w:sz w:val="20"/>
                <w:szCs w:val="20"/>
              </w:rPr>
              <w:t>7</w:t>
            </w:r>
            <w:r w:rsidR="00334338">
              <w:rPr>
                <w:sz w:val="20"/>
                <w:szCs w:val="20"/>
              </w:rPr>
              <w:t>%</w:t>
            </w:r>
            <w:r w:rsidR="00236E52" w:rsidRPr="00236E5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(32,</w:t>
            </w:r>
            <w:r w:rsidR="00236E52" w:rsidRPr="00236E52">
              <w:rPr>
                <w:sz w:val="20"/>
                <w:szCs w:val="20"/>
              </w:rPr>
              <w:t>0</w:t>
            </w:r>
            <w:r w:rsidR="00334338">
              <w:rPr>
                <w:sz w:val="20"/>
                <w:szCs w:val="20"/>
              </w:rPr>
              <w:t>%</w:t>
            </w:r>
            <w:r w:rsidR="00236E52" w:rsidRPr="00236E5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236E5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0,0015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Сердечная недостаточность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 (39,</w:t>
            </w:r>
            <w:r w:rsidR="00236E52" w:rsidRPr="00236E52">
              <w:rPr>
                <w:sz w:val="20"/>
                <w:szCs w:val="20"/>
              </w:rPr>
              <w:t>3</w:t>
            </w:r>
            <w:r w:rsidR="00334338">
              <w:rPr>
                <w:sz w:val="20"/>
                <w:szCs w:val="20"/>
              </w:rPr>
              <w:t>%</w:t>
            </w:r>
            <w:r w:rsidR="00236E52" w:rsidRPr="00236E5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 (39,</w:t>
            </w:r>
            <w:r w:rsidR="00236E52" w:rsidRPr="00236E52">
              <w:rPr>
                <w:sz w:val="20"/>
                <w:szCs w:val="20"/>
              </w:rPr>
              <w:t>4</w:t>
            </w:r>
            <w:r w:rsidR="00334338">
              <w:rPr>
                <w:sz w:val="20"/>
                <w:szCs w:val="20"/>
              </w:rPr>
              <w:t>%</w:t>
            </w:r>
            <w:r w:rsidR="00236E52" w:rsidRPr="00236E5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(36,</w:t>
            </w:r>
            <w:r w:rsidR="00236E52" w:rsidRPr="00236E52">
              <w:rPr>
                <w:sz w:val="20"/>
                <w:szCs w:val="20"/>
              </w:rPr>
              <w:t>9</w:t>
            </w:r>
            <w:r w:rsidR="00334338">
              <w:rPr>
                <w:sz w:val="20"/>
                <w:szCs w:val="20"/>
              </w:rPr>
              <w:t>%</w:t>
            </w:r>
            <w:r w:rsidR="00236E52" w:rsidRPr="00236E5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236E5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ХОБЛ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 (31,6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 (31,8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(28,9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</w:t>
            </w:r>
          </w:p>
        </w:tc>
      </w:tr>
      <w:tr w:rsidR="00700DE3" w:rsidTr="00700DE3">
        <w:tc>
          <w:tcPr>
            <w:tcW w:w="0" w:type="auto"/>
          </w:tcPr>
          <w:p w:rsidR="00D2012B" w:rsidRDefault="00F466EF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НМК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 (62,9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6722 (63,6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(53,5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 w:rsidRPr="00E662B2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ЗПА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 (39,4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 (39,7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(35,6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</w:tr>
      <w:tr w:rsidR="00700DE3" w:rsidTr="00700DE3">
        <w:tc>
          <w:tcPr>
            <w:tcW w:w="0" w:type="auto"/>
          </w:tcPr>
          <w:p w:rsidR="00D2012B" w:rsidRDefault="00236E52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ПТСР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 (19,4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 (19,7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(15,5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E662B2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700DE3" w:rsidTr="00700DE3">
        <w:tc>
          <w:tcPr>
            <w:tcW w:w="0" w:type="auto"/>
          </w:tcPr>
          <w:p w:rsidR="00D2012B" w:rsidRDefault="00380540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 (42,5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 (42,8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(38,2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</w:tr>
      <w:tr w:rsidR="00700DE3" w:rsidTr="00700DE3">
        <w:tc>
          <w:tcPr>
            <w:tcW w:w="0" w:type="auto"/>
          </w:tcPr>
          <w:p w:rsidR="00D2012B" w:rsidRDefault="00236E52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Апноэ во время сна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 (25,3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 (25,4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(24,2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00DE3" w:rsidTr="00700DE3">
        <w:tc>
          <w:tcPr>
            <w:tcW w:w="0" w:type="auto"/>
          </w:tcPr>
          <w:p w:rsidR="00D2012B" w:rsidRDefault="00236E52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Хроническое заболевание почек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 (39,0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4086 (38,7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(43,4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0,0096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Диализ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 (15,2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 (14,5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(25,7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65A5A" w:rsidP="00700DE3">
            <w:pPr>
              <w:jc w:val="center"/>
              <w:rPr>
                <w:sz w:val="20"/>
                <w:szCs w:val="20"/>
              </w:rPr>
            </w:pPr>
            <w:r w:rsidRPr="00F65A5A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Мерцание предсердий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(17,8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 (17,9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(16,0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700DE3" w:rsidTr="00700DE3">
        <w:tc>
          <w:tcPr>
            <w:tcW w:w="0" w:type="auto"/>
          </w:tcPr>
          <w:p w:rsidR="00D2012B" w:rsidRPr="00F65A5A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Риск кровотечения по </w:t>
            </w:r>
            <w:r>
              <w:rPr>
                <w:sz w:val="20"/>
                <w:szCs w:val="20"/>
                <w:lang w:val="en-US"/>
              </w:rPr>
              <w:t>NCDR</w:t>
            </w:r>
            <w:r>
              <w:rPr>
                <w:sz w:val="20"/>
                <w:szCs w:val="20"/>
              </w:rPr>
              <w:t>, срединное значение (МКИ)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(4,0-11,0)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(4,0-11,0)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 (5,0-12,0)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 w:rsidRPr="00A34695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Недавно перенесенная анемия (в течение 1 недели)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 (30,5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 (30,4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(30,7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Предшествующие осложнения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Предшествующее обильное кровотечение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(2,9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(2,4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(10,6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 w:rsidRPr="00A34695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Предшествующий ИМ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5384 (47,6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 (47,9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(43,3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Предшествующее АКШ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 (37,1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 (37,6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(30,3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 w:rsidRPr="00A34695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Проявления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Кардиогенный шок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(0,8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(0,8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(1,6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 w:rsidR="00700DE3" w:rsidTr="00700DE3">
        <w:tc>
          <w:tcPr>
            <w:tcW w:w="0" w:type="auto"/>
          </w:tcPr>
          <w:p w:rsidR="00D2012B" w:rsidRPr="00F65A5A" w:rsidRDefault="00F65A5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STEMI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(5,7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(5,2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(13,3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A34695" w:rsidP="00700DE3">
            <w:pPr>
              <w:jc w:val="center"/>
              <w:rPr>
                <w:sz w:val="20"/>
                <w:szCs w:val="20"/>
              </w:rPr>
            </w:pPr>
            <w:r w:rsidRPr="00A34695">
              <w:rPr>
                <w:sz w:val="20"/>
                <w:szCs w:val="20"/>
              </w:rPr>
              <w:t>&lt; 0,0001</w:t>
            </w:r>
          </w:p>
        </w:tc>
      </w:tr>
      <w:tr w:rsidR="00700DE3" w:rsidTr="00700DE3">
        <w:tc>
          <w:tcPr>
            <w:tcW w:w="0" w:type="auto"/>
          </w:tcPr>
          <w:p w:rsidR="00D2012B" w:rsidRPr="00173C5C" w:rsidRDefault="00173C5C" w:rsidP="00D20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NSTEMI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 (23,5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 (23,3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(26,9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173C5C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Нестабильная стенокардия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 (25,4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 (25,7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(20,6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173C5C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 стенокардия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 (34,9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 (35,4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173C5C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(28,2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173C5C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Подробности процедуры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173C5C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Непокрытый металлический </w:t>
            </w: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 (22,9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 (22,9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(22,6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700DE3" w:rsidTr="00700DE3">
        <w:tc>
          <w:tcPr>
            <w:tcW w:w="0" w:type="auto"/>
          </w:tcPr>
          <w:p w:rsidR="00D2012B" w:rsidRDefault="00DD766A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  <w:r>
              <w:rPr>
                <w:sz w:val="20"/>
                <w:szCs w:val="20"/>
              </w:rPr>
              <w:t xml:space="preserve"> с лекарственным покрытием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7881 (69,7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7353 (69,6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(70,6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700DE3" w:rsidTr="00700DE3">
        <w:tc>
          <w:tcPr>
            <w:tcW w:w="0" w:type="auto"/>
          </w:tcPr>
          <w:p w:rsidR="00D2012B" w:rsidRDefault="00DD766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ЧКВ на нескольких сосудах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 (13,8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 (13,6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(16,8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 w:rsidR="00700DE3" w:rsidTr="00700DE3">
        <w:tc>
          <w:tcPr>
            <w:tcW w:w="0" w:type="auto"/>
          </w:tcPr>
          <w:p w:rsidR="00D2012B" w:rsidRDefault="00DD766A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Препараты, которые использовались в ходе процедуры</w:t>
            </w: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12B" w:rsidRDefault="00D2012B" w:rsidP="00700DE3">
            <w:pPr>
              <w:jc w:val="center"/>
              <w:rPr>
                <w:sz w:val="20"/>
                <w:szCs w:val="20"/>
              </w:rPr>
            </w:pPr>
          </w:p>
        </w:tc>
      </w:tr>
      <w:tr w:rsidR="00700DE3" w:rsidTr="00700DE3">
        <w:tc>
          <w:tcPr>
            <w:tcW w:w="0" w:type="auto"/>
          </w:tcPr>
          <w:p w:rsidR="00D2012B" w:rsidRDefault="00F466EF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Нефракционированный</w:t>
            </w:r>
            <w:proofErr w:type="spellEnd"/>
            <w:r>
              <w:rPr>
                <w:sz w:val="20"/>
                <w:szCs w:val="20"/>
              </w:rPr>
              <w:t xml:space="preserve"> гепарин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 (48,9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(47,3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(71,9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2012B" w:rsidRDefault="00F466EF" w:rsidP="00700DE3">
            <w:pPr>
              <w:jc w:val="center"/>
              <w:rPr>
                <w:sz w:val="20"/>
                <w:szCs w:val="20"/>
              </w:rPr>
            </w:pPr>
            <w:r w:rsidRPr="00F466EF">
              <w:rPr>
                <w:sz w:val="20"/>
                <w:szCs w:val="20"/>
              </w:rPr>
              <w:t>&lt; 0,0001</w:t>
            </w:r>
          </w:p>
        </w:tc>
      </w:tr>
      <w:tr w:rsidR="00F466EF" w:rsidTr="00700DE3">
        <w:tc>
          <w:tcPr>
            <w:tcW w:w="0" w:type="auto"/>
          </w:tcPr>
          <w:p w:rsidR="00F466EF" w:rsidRDefault="00F466EF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НМГ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(6,7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(6,7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(6,0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F466EF" w:rsidTr="00700DE3">
        <w:tc>
          <w:tcPr>
            <w:tcW w:w="0" w:type="auto"/>
          </w:tcPr>
          <w:p w:rsidR="00F466EF" w:rsidRDefault="00F466EF" w:rsidP="00D2012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Бивалирудин</w:t>
            </w:r>
            <w:proofErr w:type="spellEnd"/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 (31,6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 (32,7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(14,7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 w:rsidRPr="00F466EF">
              <w:rPr>
                <w:sz w:val="20"/>
                <w:szCs w:val="20"/>
              </w:rPr>
              <w:t>&lt; 0,0001</w:t>
            </w:r>
          </w:p>
        </w:tc>
      </w:tr>
      <w:tr w:rsidR="00F466EF" w:rsidTr="00700DE3">
        <w:tc>
          <w:tcPr>
            <w:tcW w:w="0" w:type="auto"/>
          </w:tcPr>
          <w:p w:rsidR="00F466EF" w:rsidRDefault="00F466EF" w:rsidP="00D20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Любой антикоагулянт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8475 (74,9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7867 (74,4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(82,5</w:t>
            </w:r>
            <w:r w:rsidR="003343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466EF" w:rsidRDefault="00F466EF" w:rsidP="00700DE3">
            <w:pPr>
              <w:jc w:val="center"/>
              <w:rPr>
                <w:sz w:val="20"/>
                <w:szCs w:val="20"/>
              </w:rPr>
            </w:pPr>
            <w:r w:rsidRPr="00F466EF">
              <w:rPr>
                <w:sz w:val="20"/>
                <w:szCs w:val="20"/>
              </w:rPr>
              <w:t>&lt; 0,0001</w:t>
            </w:r>
          </w:p>
        </w:tc>
      </w:tr>
    </w:tbl>
    <w:p w:rsidR="00D2012B" w:rsidRPr="00EB71B4" w:rsidRDefault="00F466EF" w:rsidP="00D2012B">
      <w:pPr>
        <w:spacing w:after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МКИ – </w:t>
      </w:r>
      <w:proofErr w:type="spellStart"/>
      <w:r>
        <w:rPr>
          <w:sz w:val="20"/>
          <w:szCs w:val="20"/>
        </w:rPr>
        <w:t>межквартильный</w:t>
      </w:r>
      <w:proofErr w:type="spellEnd"/>
      <w:r>
        <w:rPr>
          <w:sz w:val="20"/>
          <w:szCs w:val="20"/>
        </w:rPr>
        <w:t xml:space="preserve"> интервал; ХОБЛ – хроническая </w:t>
      </w:r>
      <w:proofErr w:type="spellStart"/>
      <w:r>
        <w:rPr>
          <w:sz w:val="20"/>
          <w:szCs w:val="20"/>
        </w:rPr>
        <w:t>обструктивная</w:t>
      </w:r>
      <w:proofErr w:type="spellEnd"/>
      <w:r>
        <w:rPr>
          <w:sz w:val="20"/>
          <w:szCs w:val="20"/>
        </w:rPr>
        <w:t xml:space="preserve"> болезнь легких; НМК – нарушение мозгового кровообращения; ЗПА – заболевание периферических артерий; </w:t>
      </w:r>
      <w:r w:rsidR="00EB71B4">
        <w:rPr>
          <w:sz w:val="20"/>
          <w:szCs w:val="20"/>
        </w:rPr>
        <w:t>ПТСР - п</w:t>
      </w:r>
      <w:r w:rsidR="00EB71B4" w:rsidRPr="00EB71B4">
        <w:rPr>
          <w:sz w:val="20"/>
          <w:szCs w:val="20"/>
        </w:rPr>
        <w:t>осттравматическое стрессовое расстройство</w:t>
      </w:r>
      <w:r w:rsidR="00EB71B4">
        <w:rPr>
          <w:sz w:val="20"/>
          <w:szCs w:val="20"/>
        </w:rPr>
        <w:t xml:space="preserve">; ИМ – инфаркт миокарда; АКШ – аортокоронарное шунтирование; </w:t>
      </w:r>
      <w:r w:rsidR="00EB71B4">
        <w:rPr>
          <w:sz w:val="20"/>
          <w:szCs w:val="20"/>
          <w:lang w:val="en-US"/>
        </w:rPr>
        <w:t>STEMI</w:t>
      </w:r>
      <w:r w:rsidR="00EB71B4" w:rsidRPr="00EB71B4">
        <w:rPr>
          <w:sz w:val="20"/>
          <w:szCs w:val="20"/>
        </w:rPr>
        <w:t xml:space="preserve"> </w:t>
      </w:r>
      <w:r w:rsidR="00EB71B4">
        <w:rPr>
          <w:sz w:val="20"/>
          <w:szCs w:val="20"/>
        </w:rPr>
        <w:t>–</w:t>
      </w:r>
      <w:r w:rsidR="00EB71B4" w:rsidRPr="00EB71B4">
        <w:rPr>
          <w:sz w:val="20"/>
          <w:szCs w:val="20"/>
        </w:rPr>
        <w:t xml:space="preserve"> </w:t>
      </w:r>
      <w:r w:rsidR="00EB71B4">
        <w:rPr>
          <w:sz w:val="20"/>
          <w:szCs w:val="20"/>
        </w:rPr>
        <w:t xml:space="preserve">инфаркт миокарда с подъемом сегмента </w:t>
      </w:r>
      <w:r w:rsidR="00EB71B4">
        <w:rPr>
          <w:sz w:val="20"/>
          <w:szCs w:val="20"/>
          <w:lang w:val="en-US"/>
        </w:rPr>
        <w:t>ST</w:t>
      </w:r>
      <w:r w:rsidR="00EB71B4" w:rsidRPr="00EB71B4">
        <w:rPr>
          <w:sz w:val="20"/>
          <w:szCs w:val="20"/>
        </w:rPr>
        <w:t xml:space="preserve">; </w:t>
      </w:r>
      <w:r w:rsidR="00EB71B4">
        <w:rPr>
          <w:sz w:val="20"/>
          <w:szCs w:val="20"/>
          <w:lang w:val="en-US"/>
        </w:rPr>
        <w:t>NSTEMI</w:t>
      </w:r>
      <w:r w:rsidR="00EB71B4" w:rsidRPr="00EB71B4">
        <w:rPr>
          <w:sz w:val="20"/>
          <w:szCs w:val="20"/>
        </w:rPr>
        <w:t xml:space="preserve"> </w:t>
      </w:r>
      <w:r w:rsidR="00EB71B4">
        <w:rPr>
          <w:sz w:val="20"/>
          <w:szCs w:val="20"/>
        </w:rPr>
        <w:t>–</w:t>
      </w:r>
      <w:r w:rsidR="00EB71B4" w:rsidRPr="00EB71B4">
        <w:rPr>
          <w:sz w:val="20"/>
          <w:szCs w:val="20"/>
        </w:rPr>
        <w:t xml:space="preserve"> </w:t>
      </w:r>
      <w:r w:rsidR="00EB71B4">
        <w:rPr>
          <w:sz w:val="20"/>
          <w:szCs w:val="20"/>
        </w:rPr>
        <w:t xml:space="preserve">инфаркт миокарда без подъема сегмента </w:t>
      </w:r>
      <w:r w:rsidR="00EB71B4">
        <w:rPr>
          <w:sz w:val="20"/>
          <w:szCs w:val="20"/>
          <w:lang w:val="en-US"/>
        </w:rPr>
        <w:t>ST</w:t>
      </w:r>
      <w:r w:rsidR="00EB71B4" w:rsidRPr="00EB71B4">
        <w:rPr>
          <w:sz w:val="20"/>
          <w:szCs w:val="20"/>
        </w:rPr>
        <w:t xml:space="preserve">; </w:t>
      </w:r>
      <w:r w:rsidR="00EB71B4">
        <w:rPr>
          <w:sz w:val="20"/>
          <w:szCs w:val="20"/>
        </w:rPr>
        <w:t xml:space="preserve">ЧКВ – </w:t>
      </w:r>
      <w:proofErr w:type="spellStart"/>
      <w:r w:rsidR="00EB71B4">
        <w:rPr>
          <w:sz w:val="20"/>
          <w:szCs w:val="20"/>
        </w:rPr>
        <w:t>чрескожное</w:t>
      </w:r>
      <w:proofErr w:type="spellEnd"/>
      <w:r w:rsidR="00EB71B4">
        <w:rPr>
          <w:sz w:val="20"/>
          <w:szCs w:val="20"/>
        </w:rPr>
        <w:t xml:space="preserve"> коронарное вмешательство</w:t>
      </w:r>
      <w:bookmarkStart w:id="0" w:name="_GoBack"/>
      <w:bookmarkEnd w:id="0"/>
    </w:p>
    <w:sectPr w:rsidR="00D2012B" w:rsidRPr="00EB71B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72" w:rsidRDefault="002B6672" w:rsidP="00FE2D56">
      <w:pPr>
        <w:spacing w:line="240" w:lineRule="auto"/>
      </w:pPr>
      <w:r>
        <w:separator/>
      </w:r>
    </w:p>
  </w:endnote>
  <w:endnote w:type="continuationSeparator" w:id="0">
    <w:p w:rsidR="002B6672" w:rsidRDefault="002B6672" w:rsidP="00FE2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u w:val="single"/>
      </w:rPr>
      <w:id w:val="-1708705991"/>
      <w:docPartObj>
        <w:docPartGallery w:val="Page Numbers (Bottom of Page)"/>
        <w:docPartUnique/>
      </w:docPartObj>
    </w:sdtPr>
    <w:sdtEndPr>
      <w:rPr>
        <w:sz w:val="22"/>
        <w:u w:val="none"/>
      </w:rPr>
    </w:sdtEndPr>
    <w:sdtContent>
      <w:p w:rsidR="00334338" w:rsidRPr="00614B41" w:rsidRDefault="00334338" w:rsidP="004C06F4">
        <w:pPr>
          <w:pStyle w:val="Footer"/>
          <w:rPr>
            <w:u w:val="single"/>
          </w:rPr>
        </w:pPr>
        <w:r w:rsidRPr="00614B41">
          <w:rPr>
            <w:u w:val="single"/>
          </w:rPr>
          <w:tab/>
        </w:r>
      </w:p>
      <w:p w:rsidR="00334338" w:rsidRPr="000D65F9" w:rsidRDefault="00334338" w:rsidP="004C06F4">
        <w:pPr>
          <w:pStyle w:val="Footer"/>
          <w:rPr>
            <w:sz w:val="18"/>
            <w:szCs w:val="18"/>
          </w:rPr>
        </w:pPr>
        <w:r w:rsidRPr="0022606D">
          <w:rPr>
            <w:b/>
            <w:sz w:val="18"/>
            <w:szCs w:val="18"/>
          </w:rPr>
          <w:t>Адрес для переписки:</w:t>
        </w:r>
        <w:r w:rsidRPr="0022606D">
          <w:rPr>
            <w:sz w:val="18"/>
            <w:szCs w:val="18"/>
          </w:rPr>
          <w:t xml:space="preserve"> Джеффри Д. Барнс, врач, магистр наук, </w:t>
        </w:r>
        <w:proofErr w:type="spellStart"/>
        <w:r w:rsidRPr="0022606D">
          <w:rPr>
            <w:sz w:val="18"/>
            <w:szCs w:val="18"/>
          </w:rPr>
          <w:t>Мичиганский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gramStart"/>
        <w:r w:rsidRPr="0022606D">
          <w:rPr>
            <w:sz w:val="18"/>
            <w:szCs w:val="18"/>
          </w:rPr>
          <w:t>сердечно-сосудистый</w:t>
        </w:r>
        <w:proofErr w:type="gramEnd"/>
        <w:r w:rsidRPr="0022606D">
          <w:rPr>
            <w:sz w:val="18"/>
            <w:szCs w:val="18"/>
          </w:rPr>
          <w:t xml:space="preserve"> центр </w:t>
        </w:r>
        <w:proofErr w:type="spellStart"/>
        <w:r w:rsidRPr="0022606D">
          <w:rPr>
            <w:sz w:val="18"/>
            <w:szCs w:val="18"/>
          </w:rPr>
          <w:t>Франкеля</w:t>
        </w:r>
        <w:proofErr w:type="spellEnd"/>
        <w:r w:rsidRPr="0022606D">
          <w:rPr>
            <w:sz w:val="18"/>
            <w:szCs w:val="18"/>
          </w:rPr>
          <w:t>, шт. Мичиган</w:t>
        </w:r>
        <w:r w:rsidRPr="00790B67">
          <w:rPr>
            <w:sz w:val="18"/>
            <w:szCs w:val="18"/>
          </w:rPr>
          <w:t xml:space="preserve">, </w:t>
        </w:r>
        <w:r w:rsidRPr="0022606D">
          <w:rPr>
            <w:sz w:val="18"/>
            <w:szCs w:val="18"/>
          </w:rPr>
          <w:t>США</w:t>
        </w:r>
        <w:r w:rsidRPr="00790B67">
          <w:rPr>
            <w:sz w:val="18"/>
            <w:szCs w:val="18"/>
          </w:rPr>
          <w:t xml:space="preserve">. </w:t>
        </w:r>
        <w:proofErr w:type="gramStart"/>
        <w:r w:rsidRPr="000D65F9">
          <w:rPr>
            <w:sz w:val="18"/>
            <w:szCs w:val="18"/>
          </w:rPr>
          <w:t>(</w:t>
        </w:r>
        <w:r w:rsidRPr="0022606D">
          <w:rPr>
            <w:sz w:val="18"/>
            <w:szCs w:val="18"/>
            <w:lang w:val="en-US"/>
          </w:rPr>
          <w:t>Geoffrey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D</w:t>
        </w:r>
        <w:r w:rsidRPr="000D65F9">
          <w:rPr>
            <w:sz w:val="18"/>
            <w:szCs w:val="18"/>
          </w:rPr>
          <w:t>.</w:t>
        </w:r>
        <w:proofErr w:type="gramEnd"/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Barnes</w:t>
        </w:r>
        <w:r w:rsidRPr="000D65F9">
          <w:rPr>
            <w:sz w:val="18"/>
            <w:szCs w:val="18"/>
          </w:rPr>
          <w:t xml:space="preserve">, </w:t>
        </w:r>
        <w:r w:rsidRPr="0022606D">
          <w:rPr>
            <w:sz w:val="18"/>
            <w:szCs w:val="18"/>
            <w:lang w:val="en-US"/>
          </w:rPr>
          <w:t>MD</w:t>
        </w:r>
        <w:r w:rsidRPr="000D65F9">
          <w:rPr>
            <w:sz w:val="18"/>
            <w:szCs w:val="18"/>
          </w:rPr>
          <w:t xml:space="preserve">, </w:t>
        </w:r>
        <w:r w:rsidRPr="0022606D">
          <w:rPr>
            <w:sz w:val="18"/>
            <w:szCs w:val="18"/>
            <w:lang w:val="en-US"/>
          </w:rPr>
          <w:t>MSc</w:t>
        </w:r>
        <w:r w:rsidRPr="000D65F9">
          <w:rPr>
            <w:sz w:val="18"/>
            <w:szCs w:val="18"/>
          </w:rPr>
          <w:t xml:space="preserve">, </w:t>
        </w:r>
        <w:r w:rsidRPr="0022606D">
          <w:rPr>
            <w:sz w:val="18"/>
            <w:szCs w:val="18"/>
            <w:lang w:val="en-US"/>
          </w:rPr>
          <w:t>University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of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Michigan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Frankel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Cardiovascular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Center</w:t>
        </w:r>
        <w:r w:rsidRPr="000D65F9">
          <w:rPr>
            <w:sz w:val="18"/>
            <w:szCs w:val="18"/>
          </w:rPr>
          <w:t xml:space="preserve">, 2800 </w:t>
        </w:r>
        <w:r w:rsidRPr="0022606D">
          <w:rPr>
            <w:sz w:val="18"/>
            <w:szCs w:val="18"/>
            <w:lang w:val="en-US"/>
          </w:rPr>
          <w:t>Plymouth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Rd</w:t>
        </w:r>
        <w:r w:rsidRPr="000D65F9">
          <w:rPr>
            <w:sz w:val="18"/>
            <w:szCs w:val="18"/>
          </w:rPr>
          <w:t xml:space="preserve"> - </w:t>
        </w:r>
        <w:r w:rsidRPr="0022606D">
          <w:rPr>
            <w:sz w:val="18"/>
            <w:szCs w:val="18"/>
            <w:lang w:val="en-US"/>
          </w:rPr>
          <w:t>Building</w:t>
        </w:r>
        <w:r w:rsidRPr="000D65F9">
          <w:rPr>
            <w:sz w:val="18"/>
            <w:szCs w:val="18"/>
          </w:rPr>
          <w:t xml:space="preserve"> 14 </w:t>
        </w:r>
        <w:r w:rsidRPr="0022606D">
          <w:rPr>
            <w:sz w:val="18"/>
            <w:szCs w:val="18"/>
            <w:lang w:val="en-US"/>
          </w:rPr>
          <w:t>G</w:t>
        </w:r>
        <w:r w:rsidRPr="000D65F9">
          <w:rPr>
            <w:sz w:val="18"/>
            <w:szCs w:val="18"/>
          </w:rPr>
          <w:t xml:space="preserve">101, </w:t>
        </w:r>
        <w:r w:rsidRPr="0022606D">
          <w:rPr>
            <w:sz w:val="18"/>
            <w:szCs w:val="18"/>
            <w:lang w:val="en-US"/>
          </w:rPr>
          <w:t>Ann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  <w:lang w:val="en-US"/>
          </w:rPr>
          <w:t>Arbor</w:t>
        </w:r>
        <w:r w:rsidRPr="000D65F9">
          <w:rPr>
            <w:sz w:val="18"/>
            <w:szCs w:val="18"/>
          </w:rPr>
          <w:t xml:space="preserve">, </w:t>
        </w:r>
        <w:r w:rsidRPr="0022606D">
          <w:rPr>
            <w:sz w:val="18"/>
            <w:szCs w:val="18"/>
            <w:lang w:val="en-US"/>
          </w:rPr>
          <w:t>MI</w:t>
        </w:r>
        <w:r w:rsidRPr="000D65F9">
          <w:rPr>
            <w:sz w:val="18"/>
            <w:szCs w:val="18"/>
          </w:rPr>
          <w:t xml:space="preserve"> 48109-2800, </w:t>
        </w:r>
        <w:r w:rsidRPr="0022606D">
          <w:rPr>
            <w:sz w:val="18"/>
            <w:szCs w:val="18"/>
          </w:rPr>
          <w:t>тел</w:t>
        </w:r>
        <w:r w:rsidRPr="000D65F9">
          <w:rPr>
            <w:sz w:val="18"/>
            <w:szCs w:val="18"/>
          </w:rPr>
          <w:t xml:space="preserve"> .: 734-998-7955, </w:t>
        </w:r>
        <w:r w:rsidRPr="0022606D">
          <w:rPr>
            <w:sz w:val="18"/>
            <w:szCs w:val="18"/>
          </w:rPr>
          <w:t>факс</w:t>
        </w:r>
        <w:r w:rsidRPr="000D65F9">
          <w:rPr>
            <w:sz w:val="18"/>
            <w:szCs w:val="18"/>
          </w:rPr>
          <w:t xml:space="preserve">: 734-998-8018, </w:t>
        </w:r>
        <w:r w:rsidRPr="0022606D">
          <w:rPr>
            <w:sz w:val="18"/>
            <w:szCs w:val="18"/>
          </w:rPr>
          <w:t>адрес</w:t>
        </w:r>
        <w:r w:rsidRPr="000D65F9"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</w:rPr>
          <w:t>эл</w:t>
        </w:r>
        <w:r w:rsidRPr="000D65F9">
          <w:rPr>
            <w:sz w:val="18"/>
            <w:szCs w:val="18"/>
          </w:rPr>
          <w:t xml:space="preserve">. </w:t>
        </w:r>
        <w:r w:rsidRPr="0022606D">
          <w:rPr>
            <w:sz w:val="18"/>
            <w:szCs w:val="18"/>
          </w:rPr>
          <w:t>почты</w:t>
        </w:r>
        <w:r w:rsidRPr="000D65F9">
          <w:rPr>
            <w:sz w:val="18"/>
            <w:szCs w:val="18"/>
          </w:rPr>
          <w:t xml:space="preserve">: </w:t>
        </w:r>
        <w:proofErr w:type="spellStart"/>
        <w:r w:rsidRPr="0022606D">
          <w:rPr>
            <w:sz w:val="18"/>
            <w:szCs w:val="18"/>
            <w:lang w:val="en-US"/>
          </w:rPr>
          <w:t>gbarnes</w:t>
        </w:r>
        <w:proofErr w:type="spellEnd"/>
        <w:r w:rsidRPr="000D65F9">
          <w:rPr>
            <w:sz w:val="18"/>
            <w:szCs w:val="18"/>
          </w:rPr>
          <w:t>@</w:t>
        </w:r>
        <w:proofErr w:type="spellStart"/>
        <w:r w:rsidRPr="0022606D">
          <w:rPr>
            <w:sz w:val="18"/>
            <w:szCs w:val="18"/>
            <w:lang w:val="en-US"/>
          </w:rPr>
          <w:t>umich</w:t>
        </w:r>
        <w:proofErr w:type="spellEnd"/>
        <w:r w:rsidRPr="000D65F9">
          <w:rPr>
            <w:sz w:val="18"/>
            <w:szCs w:val="18"/>
          </w:rPr>
          <w:t>.</w:t>
        </w:r>
        <w:proofErr w:type="spellStart"/>
        <w:r w:rsidRPr="0022606D">
          <w:rPr>
            <w:sz w:val="18"/>
            <w:szCs w:val="18"/>
            <w:lang w:val="en-US"/>
          </w:rPr>
          <w:t>edu</w:t>
        </w:r>
        <w:proofErr w:type="spellEnd"/>
        <w:r w:rsidRPr="000D65F9">
          <w:rPr>
            <w:sz w:val="18"/>
            <w:szCs w:val="18"/>
          </w:rPr>
          <w:t>.</w:t>
        </w:r>
      </w:p>
      <w:p w:rsidR="00334338" w:rsidRPr="004C06F4" w:rsidRDefault="00334338" w:rsidP="008A2F9A">
        <w:pPr>
          <w:pStyle w:val="Footer"/>
          <w:rPr>
            <w:sz w:val="22"/>
          </w:rPr>
        </w:pPr>
        <w:r w:rsidRPr="0022606D">
          <w:rPr>
            <w:b/>
            <w:sz w:val="18"/>
            <w:szCs w:val="18"/>
          </w:rPr>
          <w:t>Раскрытие информации о конфликте интересов.</w:t>
        </w:r>
        <w:r w:rsidRPr="0022606D">
          <w:rPr>
            <w:sz w:val="18"/>
            <w:szCs w:val="18"/>
          </w:rPr>
          <w:t xml:space="preserve"> GDB – поддержка исследования получена от компани</w:t>
        </w:r>
        <w:r>
          <w:rPr>
            <w:sz w:val="18"/>
            <w:szCs w:val="18"/>
          </w:rPr>
          <w:t>и</w:t>
        </w:r>
        <w:r w:rsidRPr="0022606D">
          <w:rPr>
            <w:sz w:val="18"/>
            <w:szCs w:val="18"/>
          </w:rPr>
          <w:t xml:space="preserve"> BMS / </w:t>
        </w:r>
        <w:proofErr w:type="spellStart"/>
        <w:r w:rsidRPr="0022606D">
          <w:rPr>
            <w:sz w:val="18"/>
            <w:szCs w:val="18"/>
          </w:rPr>
          <w:t>Pfizer</w:t>
        </w:r>
        <w:proofErr w:type="spellEnd"/>
        <w:r w:rsidRPr="0022606D">
          <w:rPr>
            <w:sz w:val="18"/>
            <w:szCs w:val="18"/>
          </w:rPr>
          <w:t xml:space="preserve"> и </w:t>
        </w:r>
        <w:proofErr w:type="spellStart"/>
        <w:r w:rsidRPr="0022606D">
          <w:rPr>
            <w:sz w:val="18"/>
            <w:szCs w:val="18"/>
          </w:rPr>
          <w:t>Blue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spellStart"/>
        <w:r w:rsidRPr="0022606D">
          <w:rPr>
            <w:sz w:val="18"/>
            <w:szCs w:val="18"/>
          </w:rPr>
          <w:t>Cross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spellStart"/>
        <w:r w:rsidRPr="0022606D">
          <w:rPr>
            <w:sz w:val="18"/>
            <w:szCs w:val="18"/>
          </w:rPr>
          <w:t>Blue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spellStart"/>
        <w:r w:rsidRPr="0022606D">
          <w:rPr>
            <w:sz w:val="18"/>
            <w:szCs w:val="18"/>
          </w:rPr>
          <w:t>Shield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spellStart"/>
        <w:r w:rsidRPr="0022606D">
          <w:rPr>
            <w:sz w:val="18"/>
            <w:szCs w:val="18"/>
          </w:rPr>
          <w:t>of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spellStart"/>
        <w:r w:rsidRPr="0022606D">
          <w:rPr>
            <w:sz w:val="18"/>
            <w:szCs w:val="18"/>
          </w:rPr>
          <w:t>Michigan</w:t>
        </w:r>
        <w:proofErr w:type="spellEnd"/>
        <w:r w:rsidRPr="0022606D">
          <w:rPr>
            <w:sz w:val="18"/>
            <w:szCs w:val="18"/>
          </w:rPr>
          <w:t xml:space="preserve">, является консультантом </w:t>
        </w:r>
        <w:proofErr w:type="gramStart"/>
        <w:r w:rsidRPr="0022606D">
          <w:rPr>
            <w:sz w:val="18"/>
            <w:szCs w:val="18"/>
          </w:rPr>
          <w:t>в</w:t>
        </w:r>
        <w:proofErr w:type="gramEnd"/>
        <w:r w:rsidRPr="0022606D">
          <w:rPr>
            <w:sz w:val="18"/>
            <w:szCs w:val="18"/>
          </w:rPr>
          <w:t xml:space="preserve"> компаний </w:t>
        </w:r>
        <w:proofErr w:type="spellStart"/>
        <w:r w:rsidRPr="0022606D">
          <w:rPr>
            <w:sz w:val="18"/>
            <w:szCs w:val="18"/>
          </w:rPr>
          <w:t>Portola</w:t>
        </w:r>
        <w:proofErr w:type="spellEnd"/>
        <w:r w:rsidRPr="0022606D">
          <w:rPr>
            <w:sz w:val="18"/>
            <w:szCs w:val="18"/>
          </w:rPr>
          <w:t>. EJA и</w:t>
        </w:r>
        <w:r>
          <w:rPr>
            <w:sz w:val="18"/>
            <w:szCs w:val="18"/>
          </w:rPr>
          <w:t xml:space="preserve"> </w:t>
        </w:r>
        <w:r w:rsidRPr="0022606D">
          <w:rPr>
            <w:sz w:val="18"/>
            <w:szCs w:val="18"/>
          </w:rPr>
          <w:t xml:space="preserve">консультантом / членом консультативного совета компаний </w:t>
        </w:r>
        <w:proofErr w:type="spellStart"/>
        <w:r w:rsidRPr="0022606D">
          <w:rPr>
            <w:sz w:val="18"/>
            <w:szCs w:val="18"/>
          </w:rPr>
          <w:t>Abbott</w:t>
        </w:r>
        <w:proofErr w:type="spellEnd"/>
        <w:r w:rsidRPr="0022606D">
          <w:rPr>
            <w:sz w:val="18"/>
            <w:szCs w:val="18"/>
          </w:rPr>
          <w:t xml:space="preserve"> </w:t>
        </w:r>
        <w:proofErr w:type="spellStart"/>
        <w:r w:rsidRPr="0022606D">
          <w:rPr>
            <w:sz w:val="18"/>
            <w:szCs w:val="18"/>
          </w:rPr>
          <w:t>Vascular</w:t>
        </w:r>
        <w:proofErr w:type="spellEnd"/>
        <w:r w:rsidRPr="0022606D">
          <w:rPr>
            <w:sz w:val="18"/>
            <w:szCs w:val="18"/>
          </w:rPr>
          <w:t xml:space="preserve">, </w:t>
        </w:r>
        <w:proofErr w:type="spellStart"/>
        <w:r w:rsidRPr="0022606D">
          <w:rPr>
            <w:sz w:val="18"/>
            <w:szCs w:val="18"/>
          </w:rPr>
          <w:t>Medtronic</w:t>
        </w:r>
        <w:proofErr w:type="spellEnd"/>
        <w:r w:rsidRPr="0022606D">
          <w:rPr>
            <w:sz w:val="18"/>
            <w:szCs w:val="18"/>
          </w:rPr>
          <w:t xml:space="preserve">, </w:t>
        </w:r>
        <w:proofErr w:type="spellStart"/>
        <w:r w:rsidRPr="0022606D">
          <w:rPr>
            <w:sz w:val="18"/>
            <w:szCs w:val="18"/>
          </w:rPr>
          <w:t>Merck</w:t>
        </w:r>
        <w:proofErr w:type="spellEnd"/>
        <w:r w:rsidRPr="0022606D">
          <w:rPr>
            <w:sz w:val="18"/>
            <w:szCs w:val="18"/>
          </w:rPr>
          <w:t xml:space="preserve">, </w:t>
        </w:r>
        <w:proofErr w:type="spellStart"/>
        <w:r w:rsidRPr="0022606D">
          <w:rPr>
            <w:sz w:val="18"/>
            <w:szCs w:val="18"/>
          </w:rPr>
          <w:t>Pfizer</w:t>
        </w:r>
        <w:proofErr w:type="spellEnd"/>
        <w:r w:rsidRPr="0022606D">
          <w:rPr>
            <w:sz w:val="18"/>
            <w:szCs w:val="18"/>
          </w:rPr>
          <w:t xml:space="preserve"> и </w:t>
        </w:r>
        <w:proofErr w:type="spellStart"/>
        <w:r w:rsidRPr="0022606D">
          <w:rPr>
            <w:sz w:val="18"/>
            <w:szCs w:val="18"/>
          </w:rPr>
          <w:t>Spectranetics</w:t>
        </w:r>
        <w:proofErr w:type="spellEnd"/>
        <w:r w:rsidRPr="0022606D">
          <w:rPr>
            <w:sz w:val="18"/>
            <w:szCs w:val="18"/>
          </w:rPr>
          <w:t xml:space="preserve">. Информации о раскрытии конфликта интересов </w:t>
        </w:r>
        <w:r>
          <w:rPr>
            <w:sz w:val="18"/>
            <w:szCs w:val="18"/>
          </w:rPr>
          <w:t>о</w:t>
        </w:r>
        <w:r w:rsidRPr="0022606D">
          <w:rPr>
            <w:sz w:val="18"/>
            <w:szCs w:val="18"/>
          </w:rPr>
          <w:t xml:space="preserve"> других авторов</w:t>
        </w:r>
        <w:r>
          <w:rPr>
            <w:sz w:val="18"/>
            <w:szCs w:val="18"/>
          </w:rPr>
          <w:t xml:space="preserve"> отсутствует</w:t>
        </w:r>
        <w:r w:rsidRPr="0022606D">
          <w:rPr>
            <w:sz w:val="18"/>
            <w:szCs w:val="18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u w:val="single"/>
      </w:rPr>
      <w:id w:val="-1973970520"/>
      <w:docPartObj>
        <w:docPartGallery w:val="Page Numbers (Bottom of Page)"/>
        <w:docPartUnique/>
      </w:docPartObj>
    </w:sdtPr>
    <w:sdtEndPr>
      <w:rPr>
        <w:sz w:val="22"/>
        <w:u w:val="none"/>
      </w:rPr>
    </w:sdtEndPr>
    <w:sdtContent>
      <w:p w:rsidR="00334338" w:rsidRPr="004C06F4" w:rsidRDefault="00334338" w:rsidP="00614B41">
        <w:pPr>
          <w:pStyle w:val="Footer"/>
          <w:rPr>
            <w:sz w:val="22"/>
          </w:rPr>
        </w:pPr>
        <w:proofErr w:type="spellStart"/>
        <w:r w:rsidRPr="004C134D">
          <w:rPr>
            <w:sz w:val="18"/>
            <w:szCs w:val="18"/>
            <w:lang w:val="en-US"/>
          </w:rPr>
          <w:t>Circ</w:t>
        </w:r>
        <w:proofErr w:type="spellEnd"/>
        <w:r w:rsidRPr="004C134D">
          <w:rPr>
            <w:sz w:val="18"/>
            <w:szCs w:val="18"/>
          </w:rPr>
          <w:t xml:space="preserve"> </w:t>
        </w:r>
        <w:proofErr w:type="spellStart"/>
        <w:r w:rsidRPr="004C134D">
          <w:rPr>
            <w:sz w:val="18"/>
            <w:szCs w:val="18"/>
            <w:lang w:val="en-US"/>
          </w:rPr>
          <w:t>Cardiovasc</w:t>
        </w:r>
        <w:proofErr w:type="spellEnd"/>
        <w:r w:rsidRPr="004C134D">
          <w:rPr>
            <w:sz w:val="18"/>
            <w:szCs w:val="18"/>
          </w:rPr>
          <w:t xml:space="preserve"> </w:t>
        </w:r>
        <w:proofErr w:type="spellStart"/>
        <w:r w:rsidRPr="004C134D">
          <w:rPr>
            <w:sz w:val="18"/>
            <w:szCs w:val="18"/>
            <w:lang w:val="en-US"/>
          </w:rPr>
          <w:t>Qual</w:t>
        </w:r>
        <w:proofErr w:type="spellEnd"/>
        <w:r w:rsidRPr="004C134D">
          <w:rPr>
            <w:sz w:val="18"/>
            <w:szCs w:val="18"/>
          </w:rPr>
          <w:t xml:space="preserve"> </w:t>
        </w:r>
        <w:r w:rsidRPr="004C134D">
          <w:rPr>
            <w:sz w:val="18"/>
            <w:szCs w:val="18"/>
            <w:lang w:val="en-US"/>
          </w:rPr>
          <w:t>Outcomes</w:t>
        </w:r>
        <w:r w:rsidRPr="004C134D">
          <w:rPr>
            <w:sz w:val="18"/>
            <w:szCs w:val="18"/>
          </w:rPr>
          <w:t>.</w:t>
        </w:r>
        <w:r w:rsidRPr="00790B67">
          <w:rPr>
            <w:sz w:val="18"/>
            <w:szCs w:val="18"/>
          </w:rPr>
          <w:t xml:space="preserve"> </w:t>
        </w:r>
        <w:r w:rsidRPr="00CF569D">
          <w:rPr>
            <w:sz w:val="18"/>
            <w:szCs w:val="18"/>
          </w:rPr>
          <w:t>Авторская рукопись; доступна в PMC 01 июля 2017 г</w:t>
        </w:r>
        <w:r>
          <w:rPr>
            <w:sz w:val="18"/>
            <w:szCs w:val="18"/>
          </w:rPr>
          <w:t>.</w:t>
        </w:r>
        <w:r>
          <w:rPr>
            <w:sz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72" w:rsidRDefault="002B6672" w:rsidP="00FE2D56">
      <w:pPr>
        <w:spacing w:line="240" w:lineRule="auto"/>
      </w:pPr>
      <w:r>
        <w:separator/>
      </w:r>
    </w:p>
  </w:footnote>
  <w:footnote w:type="continuationSeparator" w:id="0">
    <w:p w:rsidR="002B6672" w:rsidRDefault="002B6672" w:rsidP="00FE2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045"/>
    </w:tblGrid>
    <w:tr w:rsidR="00334338" w:rsidTr="004B4D10">
      <w:tc>
        <w:tcPr>
          <w:tcW w:w="1526" w:type="dxa"/>
        </w:tcPr>
        <w:p w:rsidR="00334338" w:rsidRPr="004B4D10" w:rsidRDefault="00334338">
          <w:pPr>
            <w:pStyle w:val="Header"/>
            <w:rPr>
              <w:sz w:val="21"/>
              <w:szCs w:val="21"/>
            </w:rPr>
          </w:pPr>
          <w:r w:rsidRPr="004B4D10">
            <w:rPr>
              <w:sz w:val="21"/>
              <w:szCs w:val="21"/>
              <w:lang w:val="en-US"/>
            </w:rPr>
            <w:t xml:space="preserve">&lt; </w:t>
          </w:r>
          <w:r w:rsidRPr="004B4D10">
            <w:rPr>
              <w:sz w:val="21"/>
              <w:szCs w:val="21"/>
            </w:rPr>
            <w:t>Логотип</w:t>
          </w:r>
          <w:r w:rsidRPr="004B4D10">
            <w:rPr>
              <w:sz w:val="21"/>
              <w:szCs w:val="21"/>
              <w:lang w:val="en-US"/>
            </w:rPr>
            <w:t xml:space="preserve"> &gt;</w:t>
          </w:r>
        </w:p>
      </w:tc>
      <w:tc>
        <w:tcPr>
          <w:tcW w:w="8045" w:type="dxa"/>
        </w:tcPr>
        <w:p w:rsidR="00334338" w:rsidRPr="004B4D10" w:rsidRDefault="00334338" w:rsidP="004B4D10">
          <w:pPr>
            <w:pStyle w:val="Header"/>
            <w:spacing w:before="120"/>
            <w:rPr>
              <w:sz w:val="20"/>
              <w:szCs w:val="20"/>
            </w:rPr>
          </w:pPr>
          <w:r w:rsidRPr="004B4D10">
            <w:rPr>
              <w:sz w:val="21"/>
              <w:szCs w:val="21"/>
            </w:rPr>
            <w:t xml:space="preserve">Общественный доступ. </w:t>
          </w:r>
          <w:r w:rsidRPr="004B4D10">
            <w:rPr>
              <w:sz w:val="20"/>
              <w:szCs w:val="20"/>
            </w:rPr>
            <w:t>HHS (Департамент здравоохранения и социальных служб США)</w:t>
          </w:r>
        </w:p>
        <w:p w:rsidR="00334338" w:rsidRPr="000D65F9" w:rsidRDefault="00334338" w:rsidP="00FE2D56">
          <w:pPr>
            <w:pStyle w:val="Header"/>
            <w:rPr>
              <w:sz w:val="21"/>
              <w:szCs w:val="21"/>
            </w:rPr>
          </w:pPr>
          <w:r w:rsidRPr="004B4D10">
            <w:rPr>
              <w:sz w:val="21"/>
              <w:szCs w:val="21"/>
            </w:rPr>
            <w:t>Авторская</w:t>
          </w:r>
          <w:r w:rsidRPr="000D65F9">
            <w:rPr>
              <w:sz w:val="21"/>
              <w:szCs w:val="21"/>
            </w:rPr>
            <w:t xml:space="preserve"> </w:t>
          </w:r>
          <w:r w:rsidRPr="004B4D10">
            <w:rPr>
              <w:sz w:val="21"/>
              <w:szCs w:val="21"/>
            </w:rPr>
            <w:t>рукопись</w:t>
          </w:r>
          <w:r w:rsidRPr="000D65F9">
            <w:rPr>
              <w:sz w:val="21"/>
              <w:szCs w:val="21"/>
            </w:rPr>
            <w:t>.</w:t>
          </w:r>
        </w:p>
        <w:p w:rsidR="00334338" w:rsidRPr="004B4D10" w:rsidRDefault="00334338" w:rsidP="004B4D10">
          <w:pPr>
            <w:pStyle w:val="Header"/>
            <w:spacing w:after="120"/>
            <w:rPr>
              <w:sz w:val="21"/>
              <w:szCs w:val="21"/>
            </w:rPr>
          </w:pPr>
          <w:proofErr w:type="spellStart"/>
          <w:r w:rsidRPr="00713258">
            <w:rPr>
              <w:i/>
              <w:sz w:val="21"/>
              <w:szCs w:val="21"/>
              <w:lang w:val="en-US"/>
            </w:rPr>
            <w:t>Circ</w:t>
          </w:r>
          <w:proofErr w:type="spellEnd"/>
          <w:r w:rsidRPr="000D65F9">
            <w:rPr>
              <w:i/>
              <w:sz w:val="21"/>
              <w:szCs w:val="21"/>
            </w:rPr>
            <w:t xml:space="preserve"> </w:t>
          </w:r>
          <w:proofErr w:type="spellStart"/>
          <w:r w:rsidRPr="00713258">
            <w:rPr>
              <w:i/>
              <w:sz w:val="21"/>
              <w:szCs w:val="21"/>
              <w:lang w:val="en-US"/>
            </w:rPr>
            <w:t>Cardiovasc</w:t>
          </w:r>
          <w:proofErr w:type="spellEnd"/>
          <w:r w:rsidRPr="000D65F9">
            <w:rPr>
              <w:i/>
              <w:sz w:val="21"/>
              <w:szCs w:val="21"/>
            </w:rPr>
            <w:t xml:space="preserve"> </w:t>
          </w:r>
          <w:proofErr w:type="spellStart"/>
          <w:r w:rsidRPr="00713258">
            <w:rPr>
              <w:i/>
              <w:sz w:val="21"/>
              <w:szCs w:val="21"/>
              <w:lang w:val="en-US"/>
            </w:rPr>
            <w:t>Qual</w:t>
          </w:r>
          <w:proofErr w:type="spellEnd"/>
          <w:r w:rsidRPr="000D65F9">
            <w:rPr>
              <w:i/>
              <w:sz w:val="21"/>
              <w:szCs w:val="21"/>
            </w:rPr>
            <w:t xml:space="preserve"> </w:t>
          </w:r>
          <w:r w:rsidRPr="00713258">
            <w:rPr>
              <w:i/>
              <w:sz w:val="21"/>
              <w:szCs w:val="21"/>
              <w:lang w:val="en-US"/>
            </w:rPr>
            <w:t>Outcomes</w:t>
          </w:r>
          <w:r w:rsidRPr="000D65F9">
            <w:rPr>
              <w:sz w:val="21"/>
              <w:szCs w:val="21"/>
            </w:rPr>
            <w:t xml:space="preserve">. </w:t>
          </w:r>
          <w:r w:rsidRPr="004B4D10">
            <w:rPr>
              <w:sz w:val="21"/>
              <w:szCs w:val="21"/>
            </w:rPr>
            <w:t>Авторская рукопись; доступна в PMC 01 июля 2017 г</w:t>
          </w:r>
          <w:r>
            <w:rPr>
              <w:sz w:val="21"/>
              <w:szCs w:val="21"/>
            </w:rPr>
            <w:t>.</w:t>
          </w:r>
        </w:p>
      </w:tc>
    </w:tr>
  </w:tbl>
  <w:p w:rsidR="00334338" w:rsidRPr="004B4D10" w:rsidRDefault="00334338" w:rsidP="004B4D10">
    <w:pPr>
      <w:pStyle w:val="Header"/>
      <w:spacing w:before="120"/>
      <w:rPr>
        <w:sz w:val="18"/>
        <w:szCs w:val="18"/>
      </w:rPr>
    </w:pPr>
    <w:r w:rsidRPr="004B4D10">
      <w:rPr>
        <w:sz w:val="18"/>
        <w:szCs w:val="18"/>
      </w:rPr>
      <w:t>Опубликовано в окончательной отредактированной форме как:</w:t>
    </w:r>
  </w:p>
  <w:p w:rsidR="00334338" w:rsidRPr="004B4D10" w:rsidRDefault="00334338" w:rsidP="00087AE1">
    <w:pPr>
      <w:pStyle w:val="Header"/>
      <w:spacing w:after="240"/>
      <w:rPr>
        <w:sz w:val="18"/>
        <w:szCs w:val="18"/>
      </w:rPr>
    </w:pPr>
    <w:proofErr w:type="spellStart"/>
    <w:r w:rsidRPr="00713258">
      <w:rPr>
        <w:i/>
        <w:sz w:val="21"/>
        <w:szCs w:val="21"/>
        <w:lang w:val="en-US"/>
      </w:rPr>
      <w:t>Circ</w:t>
    </w:r>
    <w:proofErr w:type="spellEnd"/>
    <w:r w:rsidRPr="00713258">
      <w:rPr>
        <w:i/>
        <w:sz w:val="21"/>
        <w:szCs w:val="21"/>
        <w:lang w:val="en-US"/>
      </w:rPr>
      <w:t xml:space="preserve"> </w:t>
    </w:r>
    <w:proofErr w:type="spellStart"/>
    <w:r w:rsidRPr="00713258">
      <w:rPr>
        <w:i/>
        <w:sz w:val="21"/>
        <w:szCs w:val="21"/>
        <w:lang w:val="en-US"/>
      </w:rPr>
      <w:t>Cardiovasc</w:t>
    </w:r>
    <w:proofErr w:type="spellEnd"/>
    <w:r w:rsidRPr="00713258">
      <w:rPr>
        <w:i/>
        <w:sz w:val="21"/>
        <w:szCs w:val="21"/>
        <w:lang w:val="en-US"/>
      </w:rPr>
      <w:t xml:space="preserve"> </w:t>
    </w:r>
    <w:proofErr w:type="spellStart"/>
    <w:r w:rsidRPr="00713258">
      <w:rPr>
        <w:i/>
        <w:sz w:val="21"/>
        <w:szCs w:val="21"/>
        <w:lang w:val="en-US"/>
      </w:rPr>
      <w:t>Qual</w:t>
    </w:r>
    <w:proofErr w:type="spellEnd"/>
    <w:r w:rsidRPr="00713258">
      <w:rPr>
        <w:i/>
        <w:sz w:val="21"/>
        <w:szCs w:val="21"/>
        <w:lang w:val="en-US"/>
      </w:rPr>
      <w:t xml:space="preserve"> Outcomes</w:t>
    </w:r>
    <w:r w:rsidRPr="00713258">
      <w:rPr>
        <w:sz w:val="21"/>
        <w:szCs w:val="21"/>
        <w:lang w:val="en-US"/>
      </w:rPr>
      <w:t>.</w:t>
    </w:r>
    <w:r w:rsidRPr="001C22E2">
      <w:rPr>
        <w:sz w:val="21"/>
        <w:szCs w:val="21"/>
        <w:lang w:val="en-US"/>
      </w:rPr>
      <w:t xml:space="preserve"> </w:t>
    </w:r>
    <w:r w:rsidRPr="004B4D10">
      <w:rPr>
        <w:sz w:val="18"/>
        <w:szCs w:val="18"/>
        <w:lang w:val="en-US"/>
      </w:rPr>
      <w:t xml:space="preserve">2016 </w:t>
    </w:r>
    <w:r w:rsidRPr="004B4D10">
      <w:rPr>
        <w:sz w:val="18"/>
        <w:szCs w:val="18"/>
      </w:rPr>
      <w:t>год</w:t>
    </w:r>
    <w:r>
      <w:rPr>
        <w:sz w:val="18"/>
        <w:szCs w:val="18"/>
        <w:lang w:val="en-US"/>
      </w:rPr>
      <w:t>; 9 (4)</w:t>
    </w:r>
    <w:r w:rsidRPr="001C22E2">
      <w:rPr>
        <w:sz w:val="18"/>
        <w:szCs w:val="18"/>
        <w:lang w:val="en-US"/>
      </w:rPr>
      <w:t xml:space="preserve">, </w:t>
    </w:r>
    <w:r>
      <w:rPr>
        <w:sz w:val="18"/>
        <w:szCs w:val="18"/>
      </w:rPr>
      <w:t>с</w:t>
    </w:r>
    <w:r w:rsidRPr="001C22E2">
      <w:rPr>
        <w:sz w:val="18"/>
        <w:szCs w:val="18"/>
        <w:lang w:val="en-US"/>
      </w:rPr>
      <w:t xml:space="preserve">. </w:t>
    </w:r>
    <w:r w:rsidRPr="004B4D10">
      <w:rPr>
        <w:sz w:val="18"/>
        <w:szCs w:val="18"/>
        <w:lang w:val="en-US"/>
      </w:rPr>
      <w:t xml:space="preserve">406-413. </w:t>
    </w:r>
    <w:r w:rsidRPr="004B4D10">
      <w:rPr>
        <w:sz w:val="18"/>
        <w:szCs w:val="18"/>
      </w:rPr>
      <w:t>DOI: 10,1161 / CIRCOUTCOMES.115.002043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38" w:rsidRPr="00B7636D" w:rsidRDefault="00334338" w:rsidP="00614B41">
    <w:pPr>
      <w:pStyle w:val="Header"/>
      <w:tabs>
        <w:tab w:val="clear" w:pos="4677"/>
        <w:tab w:val="center" w:pos="9239"/>
      </w:tabs>
      <w:spacing w:after="120"/>
      <w:rPr>
        <w:sz w:val="18"/>
        <w:szCs w:val="18"/>
      </w:rPr>
    </w:pPr>
    <w:proofErr w:type="spellStart"/>
    <w:r w:rsidRPr="00B7636D">
      <w:rPr>
        <w:sz w:val="18"/>
        <w:szCs w:val="18"/>
      </w:rPr>
      <w:t>Barnes</w:t>
    </w:r>
    <w:proofErr w:type="spellEnd"/>
    <w:r w:rsidRPr="00B7636D">
      <w:rPr>
        <w:sz w:val="18"/>
        <w:szCs w:val="18"/>
      </w:rPr>
      <w:t xml:space="preserve"> </w:t>
    </w:r>
    <w:r>
      <w:rPr>
        <w:sz w:val="18"/>
        <w:szCs w:val="18"/>
      </w:rPr>
      <w:t xml:space="preserve">с </w:t>
    </w:r>
    <w:proofErr w:type="spellStart"/>
    <w:r>
      <w:rPr>
        <w:sz w:val="18"/>
        <w:szCs w:val="18"/>
      </w:rPr>
      <w:t>соавт</w:t>
    </w:r>
    <w:proofErr w:type="spellEnd"/>
    <w:r>
      <w:rPr>
        <w:sz w:val="18"/>
        <w:szCs w:val="18"/>
      </w:rPr>
      <w:t>.</w:t>
    </w:r>
    <w:r>
      <w:rPr>
        <w:sz w:val="18"/>
        <w:szCs w:val="18"/>
      </w:rPr>
      <w:tab/>
    </w:r>
    <w:r w:rsidRPr="004C06F4">
      <w:rPr>
        <w:sz w:val="22"/>
      </w:rPr>
      <w:fldChar w:fldCharType="begin"/>
    </w:r>
    <w:r w:rsidRPr="004C06F4">
      <w:rPr>
        <w:sz w:val="22"/>
      </w:rPr>
      <w:instrText>PAGE   \* MERGEFORMAT</w:instrText>
    </w:r>
    <w:r w:rsidRPr="004C06F4">
      <w:rPr>
        <w:sz w:val="22"/>
      </w:rPr>
      <w:fldChar w:fldCharType="separate"/>
    </w:r>
    <w:r w:rsidR="005B3214">
      <w:rPr>
        <w:noProof/>
        <w:sz w:val="22"/>
      </w:rPr>
      <w:t>15</w:t>
    </w:r>
    <w:r w:rsidRPr="004C06F4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F99"/>
    <w:multiLevelType w:val="hybridMultilevel"/>
    <w:tmpl w:val="05C0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646D3"/>
    <w:multiLevelType w:val="hybridMultilevel"/>
    <w:tmpl w:val="B28A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A7"/>
    <w:rsid w:val="00016624"/>
    <w:rsid w:val="00017BD0"/>
    <w:rsid w:val="00042B05"/>
    <w:rsid w:val="00057C84"/>
    <w:rsid w:val="000777E2"/>
    <w:rsid w:val="00087AE1"/>
    <w:rsid w:val="00093053"/>
    <w:rsid w:val="000A46F0"/>
    <w:rsid w:val="000D65F9"/>
    <w:rsid w:val="000E461C"/>
    <w:rsid w:val="000F0E7A"/>
    <w:rsid w:val="000F3BA1"/>
    <w:rsid w:val="00100A63"/>
    <w:rsid w:val="00110A1D"/>
    <w:rsid w:val="00144C3A"/>
    <w:rsid w:val="0014743D"/>
    <w:rsid w:val="00157A33"/>
    <w:rsid w:val="0016657D"/>
    <w:rsid w:val="00173C5C"/>
    <w:rsid w:val="001C22E2"/>
    <w:rsid w:val="001C55AE"/>
    <w:rsid w:val="001E6FD3"/>
    <w:rsid w:val="001F427C"/>
    <w:rsid w:val="00211E1D"/>
    <w:rsid w:val="00211EBA"/>
    <w:rsid w:val="002162FF"/>
    <w:rsid w:val="0022606D"/>
    <w:rsid w:val="00236E52"/>
    <w:rsid w:val="00256464"/>
    <w:rsid w:val="002809E1"/>
    <w:rsid w:val="00284AB7"/>
    <w:rsid w:val="00290AF6"/>
    <w:rsid w:val="002A54F7"/>
    <w:rsid w:val="002B6672"/>
    <w:rsid w:val="002D648C"/>
    <w:rsid w:val="002F3CEB"/>
    <w:rsid w:val="003208CC"/>
    <w:rsid w:val="00334338"/>
    <w:rsid w:val="003347AC"/>
    <w:rsid w:val="003376A9"/>
    <w:rsid w:val="00356293"/>
    <w:rsid w:val="00380540"/>
    <w:rsid w:val="00380543"/>
    <w:rsid w:val="003D5056"/>
    <w:rsid w:val="003D6B2F"/>
    <w:rsid w:val="003D71C7"/>
    <w:rsid w:val="003D791B"/>
    <w:rsid w:val="00460598"/>
    <w:rsid w:val="004655C5"/>
    <w:rsid w:val="00474968"/>
    <w:rsid w:val="00486293"/>
    <w:rsid w:val="004A3DC3"/>
    <w:rsid w:val="004B4D10"/>
    <w:rsid w:val="004C06F4"/>
    <w:rsid w:val="004C134D"/>
    <w:rsid w:val="00521D84"/>
    <w:rsid w:val="00546293"/>
    <w:rsid w:val="005A3BF6"/>
    <w:rsid w:val="005A4BC6"/>
    <w:rsid w:val="005B3214"/>
    <w:rsid w:val="005C16F7"/>
    <w:rsid w:val="005D7D50"/>
    <w:rsid w:val="005E1646"/>
    <w:rsid w:val="006012C3"/>
    <w:rsid w:val="00614B41"/>
    <w:rsid w:val="006411FA"/>
    <w:rsid w:val="006911FD"/>
    <w:rsid w:val="006F0FBF"/>
    <w:rsid w:val="00700DE3"/>
    <w:rsid w:val="00713258"/>
    <w:rsid w:val="0072587C"/>
    <w:rsid w:val="0076747B"/>
    <w:rsid w:val="0077507E"/>
    <w:rsid w:val="00790B67"/>
    <w:rsid w:val="007C5C5E"/>
    <w:rsid w:val="007C67A7"/>
    <w:rsid w:val="007D7608"/>
    <w:rsid w:val="007E6813"/>
    <w:rsid w:val="0080794A"/>
    <w:rsid w:val="00824F01"/>
    <w:rsid w:val="00841362"/>
    <w:rsid w:val="00846676"/>
    <w:rsid w:val="00853F95"/>
    <w:rsid w:val="00874A02"/>
    <w:rsid w:val="008A2F9A"/>
    <w:rsid w:val="008B5410"/>
    <w:rsid w:val="008C1A02"/>
    <w:rsid w:val="008D5E9F"/>
    <w:rsid w:val="008D7869"/>
    <w:rsid w:val="008E6E06"/>
    <w:rsid w:val="008F00FF"/>
    <w:rsid w:val="009037AA"/>
    <w:rsid w:val="00911206"/>
    <w:rsid w:val="00957136"/>
    <w:rsid w:val="00996D27"/>
    <w:rsid w:val="009B2E10"/>
    <w:rsid w:val="00A16C5C"/>
    <w:rsid w:val="00A34695"/>
    <w:rsid w:val="00A4504F"/>
    <w:rsid w:val="00A474EB"/>
    <w:rsid w:val="00A7479C"/>
    <w:rsid w:val="00A8689A"/>
    <w:rsid w:val="00A970CA"/>
    <w:rsid w:val="00A97637"/>
    <w:rsid w:val="00AA0507"/>
    <w:rsid w:val="00AA0B30"/>
    <w:rsid w:val="00AC0165"/>
    <w:rsid w:val="00AC78A2"/>
    <w:rsid w:val="00AD6288"/>
    <w:rsid w:val="00AF0B85"/>
    <w:rsid w:val="00AF2088"/>
    <w:rsid w:val="00B13449"/>
    <w:rsid w:val="00B24CF6"/>
    <w:rsid w:val="00B71127"/>
    <w:rsid w:val="00B7636D"/>
    <w:rsid w:val="00BF4590"/>
    <w:rsid w:val="00BF5E12"/>
    <w:rsid w:val="00C04E3F"/>
    <w:rsid w:val="00C07EB4"/>
    <w:rsid w:val="00C17B0E"/>
    <w:rsid w:val="00C33B07"/>
    <w:rsid w:val="00C56D42"/>
    <w:rsid w:val="00C67213"/>
    <w:rsid w:val="00C67864"/>
    <w:rsid w:val="00C82717"/>
    <w:rsid w:val="00C902FE"/>
    <w:rsid w:val="00CA6B7F"/>
    <w:rsid w:val="00CA7F83"/>
    <w:rsid w:val="00CB13B8"/>
    <w:rsid w:val="00CC2B7B"/>
    <w:rsid w:val="00CF4618"/>
    <w:rsid w:val="00CF569D"/>
    <w:rsid w:val="00D11CF3"/>
    <w:rsid w:val="00D15D35"/>
    <w:rsid w:val="00D2012B"/>
    <w:rsid w:val="00D32CA1"/>
    <w:rsid w:val="00D364FB"/>
    <w:rsid w:val="00D40F47"/>
    <w:rsid w:val="00D73596"/>
    <w:rsid w:val="00D9060D"/>
    <w:rsid w:val="00DB37CD"/>
    <w:rsid w:val="00DC0A32"/>
    <w:rsid w:val="00DD2B9B"/>
    <w:rsid w:val="00DD766A"/>
    <w:rsid w:val="00DF449D"/>
    <w:rsid w:val="00E04840"/>
    <w:rsid w:val="00E165EC"/>
    <w:rsid w:val="00E17CC9"/>
    <w:rsid w:val="00E25C1F"/>
    <w:rsid w:val="00E5281B"/>
    <w:rsid w:val="00E662B2"/>
    <w:rsid w:val="00E8172B"/>
    <w:rsid w:val="00E86E5C"/>
    <w:rsid w:val="00E9050E"/>
    <w:rsid w:val="00E90551"/>
    <w:rsid w:val="00EB1B61"/>
    <w:rsid w:val="00EB4784"/>
    <w:rsid w:val="00EB4ABE"/>
    <w:rsid w:val="00EB71B4"/>
    <w:rsid w:val="00EC0CAC"/>
    <w:rsid w:val="00F061DD"/>
    <w:rsid w:val="00F1208D"/>
    <w:rsid w:val="00F148BE"/>
    <w:rsid w:val="00F35869"/>
    <w:rsid w:val="00F466EF"/>
    <w:rsid w:val="00F47FF6"/>
    <w:rsid w:val="00F538FB"/>
    <w:rsid w:val="00F65A5A"/>
    <w:rsid w:val="00F72B42"/>
    <w:rsid w:val="00F876A2"/>
    <w:rsid w:val="00FA4C3D"/>
    <w:rsid w:val="00FC4CB4"/>
    <w:rsid w:val="00FE2D56"/>
    <w:rsid w:val="00FE4761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5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56"/>
  </w:style>
  <w:style w:type="paragraph" w:styleId="Footer">
    <w:name w:val="footer"/>
    <w:basedOn w:val="Normal"/>
    <w:link w:val="FooterChar"/>
    <w:uiPriority w:val="99"/>
    <w:unhideWhenUsed/>
    <w:rsid w:val="00FE2D5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6"/>
  </w:style>
  <w:style w:type="table" w:styleId="TableGrid">
    <w:name w:val="Table Grid"/>
    <w:basedOn w:val="TableNormal"/>
    <w:uiPriority w:val="59"/>
    <w:rsid w:val="00FE2D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5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56"/>
  </w:style>
  <w:style w:type="paragraph" w:styleId="Footer">
    <w:name w:val="footer"/>
    <w:basedOn w:val="Normal"/>
    <w:link w:val="FooterChar"/>
    <w:uiPriority w:val="99"/>
    <w:unhideWhenUsed/>
    <w:rsid w:val="00FE2D5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6"/>
  </w:style>
  <w:style w:type="table" w:styleId="TableGrid">
    <w:name w:val="Table Grid"/>
    <w:basedOn w:val="TableNormal"/>
    <w:uiPriority w:val="59"/>
    <w:rsid w:val="00FE2D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1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95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26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72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459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1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7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201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5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04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529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5305</Words>
  <Characters>37288</Characters>
  <Application>Microsoft Office Word</Application>
  <DocSecurity>0</DocSecurity>
  <Lines>809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зак. №540, 2018 г.</dc:description>
  <cp:lastModifiedBy/>
  <cp:revision>1</cp:revision>
  <dcterms:created xsi:type="dcterms:W3CDTF">2018-09-23T13:36:00Z</dcterms:created>
  <dcterms:modified xsi:type="dcterms:W3CDTF">2018-09-23T14:47:00Z</dcterms:modified>
</cp:coreProperties>
</file>